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B7A" w:rsidRPr="006C2C92" w:rsidRDefault="00002F8C" w:rsidP="00014C35">
      <w:pPr>
        <w:pStyle w:val="a3"/>
        <w:spacing w:line="228" w:lineRule="auto"/>
        <w:ind w:left="-181"/>
        <w:jc w:val="center"/>
        <w:rPr>
          <w:rFonts w:ascii="Arial" w:hAnsi="Arial" w:cs="Arial"/>
          <w:b/>
          <w:shadow/>
          <w:color w:val="0038EC"/>
          <w:spacing w:val="-10"/>
          <w:sz w:val="45"/>
          <w:szCs w:val="45"/>
        </w:rPr>
      </w:pPr>
      <w:r>
        <w:rPr>
          <w:noProof/>
          <w:lang w:eastAsia="uk-UA"/>
        </w:rPr>
        <w:pict>
          <v:rect id="_x0000_s1026" style="position:absolute;left:0;text-align:left;margin-left:370.95pt;margin-top:-34.8pt;width:157pt;height:23.5pt;z-index:251657728" stroked="f">
            <v:textbox>
              <w:txbxContent>
                <w:p w:rsidR="00A86536" w:rsidRPr="00A86536" w:rsidRDefault="00A86536" w:rsidP="00A86536">
                  <w:pPr>
                    <w:rPr>
                      <w:rFonts w:ascii="Arial" w:hAnsi="Arial" w:cs="Arial"/>
                      <w:b/>
                      <w:color w:val="BFBFBF"/>
                      <w:sz w:val="22"/>
                      <w:lang w:val="uk-UA"/>
                    </w:rPr>
                  </w:pPr>
                  <w:r w:rsidRPr="00A86536">
                    <w:rPr>
                      <w:rFonts w:ascii="Arial" w:hAnsi="Arial" w:cs="Arial"/>
                      <w:b/>
                      <w:color w:val="BFBFBF"/>
                      <w:sz w:val="22"/>
                    </w:rPr>
                    <w:t xml:space="preserve">Умови діють з </w:t>
                  </w:r>
                  <w:r w:rsidR="00CE26F5">
                    <w:rPr>
                      <w:rFonts w:ascii="Arial" w:hAnsi="Arial" w:cs="Arial"/>
                      <w:b/>
                      <w:color w:val="BFBFBF"/>
                      <w:sz w:val="22"/>
                    </w:rPr>
                    <w:t>25</w:t>
                  </w:r>
                  <w:r w:rsidRPr="00A86536">
                    <w:rPr>
                      <w:rFonts w:ascii="Arial" w:hAnsi="Arial" w:cs="Arial"/>
                      <w:b/>
                      <w:color w:val="BFBFBF"/>
                      <w:sz w:val="22"/>
                    </w:rPr>
                    <w:t>.0</w:t>
                  </w:r>
                  <w:r w:rsidR="00CE26F5">
                    <w:rPr>
                      <w:rFonts w:ascii="Arial" w:hAnsi="Arial" w:cs="Arial"/>
                      <w:b/>
                      <w:color w:val="BFBFBF"/>
                      <w:sz w:val="22"/>
                    </w:rPr>
                    <w:t>9</w:t>
                  </w:r>
                  <w:r w:rsidRPr="00A86536">
                    <w:rPr>
                      <w:rFonts w:ascii="Arial" w:hAnsi="Arial" w:cs="Arial"/>
                      <w:b/>
                      <w:color w:val="BFBFBF"/>
                      <w:sz w:val="22"/>
                    </w:rPr>
                    <w:t>.</w:t>
                  </w:r>
                  <w:r w:rsidRPr="00A86536">
                    <w:rPr>
                      <w:rFonts w:ascii="Arial" w:hAnsi="Arial" w:cs="Arial"/>
                      <w:b/>
                      <w:color w:val="BFBFBF"/>
                      <w:sz w:val="22"/>
                      <w:lang w:val="uk-UA"/>
                    </w:rPr>
                    <w:t>2023.</w:t>
                  </w:r>
                </w:p>
              </w:txbxContent>
            </v:textbox>
          </v:rect>
        </w:pict>
      </w:r>
      <w:r w:rsidR="005A44C8" w:rsidRPr="005A44C8">
        <w:rPr>
          <w:rFonts w:ascii="Arial" w:hAnsi="Arial" w:cs="Arial"/>
          <w:b/>
          <w:shadow/>
          <w:color w:val="0038EC"/>
          <w:spacing w:val="-10"/>
          <w:sz w:val="45"/>
          <w:szCs w:val="45"/>
          <w:lang w:val="ru-RU"/>
        </w:rPr>
        <w:t>В</w:t>
      </w:r>
      <w:r w:rsidR="005A44C8" w:rsidRPr="006C2C92">
        <w:rPr>
          <w:rFonts w:ascii="Arial" w:hAnsi="Arial" w:cs="Arial"/>
          <w:b/>
          <w:shadow/>
          <w:color w:val="0038EC"/>
          <w:spacing w:val="-10"/>
          <w:sz w:val="45"/>
          <w:szCs w:val="45"/>
        </w:rPr>
        <w:t>клад</w:t>
      </w:r>
      <w:r w:rsidR="00F82B7A" w:rsidRPr="006C2C92">
        <w:rPr>
          <w:rFonts w:ascii="Arial" w:hAnsi="Arial" w:cs="Arial"/>
          <w:b/>
          <w:shadow/>
          <w:color w:val="0038EC"/>
          <w:spacing w:val="-10"/>
          <w:sz w:val="45"/>
          <w:szCs w:val="45"/>
        </w:rPr>
        <w:t>и</w:t>
      </w:r>
      <w:r w:rsidR="005A44C8" w:rsidRPr="006C2C92">
        <w:rPr>
          <w:rFonts w:ascii="Arial" w:hAnsi="Arial" w:cs="Arial"/>
          <w:b/>
          <w:shadow/>
          <w:color w:val="0038EC"/>
          <w:spacing w:val="-10"/>
          <w:sz w:val="45"/>
          <w:szCs w:val="45"/>
        </w:rPr>
        <w:t xml:space="preserve"> </w:t>
      </w:r>
      <w:r w:rsidR="00F82B7A" w:rsidRPr="006C2C92">
        <w:rPr>
          <w:rFonts w:ascii="Arial" w:hAnsi="Arial" w:cs="Arial"/>
          <w:b/>
          <w:shadow/>
          <w:color w:val="0038EC"/>
          <w:spacing w:val="-10"/>
          <w:sz w:val="45"/>
          <w:szCs w:val="45"/>
        </w:rPr>
        <w:t>для наших захисників</w:t>
      </w:r>
    </w:p>
    <w:p w:rsidR="00A748E3" w:rsidRPr="006C2C92" w:rsidRDefault="00F82B7A" w:rsidP="00A748E3">
      <w:pPr>
        <w:pStyle w:val="21"/>
        <w:spacing w:before="200"/>
        <w:rPr>
          <w:b/>
          <w:bCs/>
        </w:rPr>
      </w:pPr>
      <w:r w:rsidRPr="006C2C92">
        <w:rPr>
          <w:b/>
          <w:bCs/>
          <w:color w:val="3366FF"/>
        </w:rPr>
        <w:t>1</w:t>
      </w:r>
      <w:r w:rsidR="00A748E3" w:rsidRPr="006C2C92">
        <w:rPr>
          <w:b/>
          <w:bCs/>
          <w:color w:val="3366FF"/>
        </w:rPr>
        <w:t>) </w:t>
      </w:r>
      <w:r w:rsidR="00A748E3" w:rsidRPr="006C2C92">
        <w:rPr>
          <w:b/>
          <w:bCs/>
          <w:color w:val="3366FF"/>
          <w:sz w:val="32"/>
          <w:szCs w:val="32"/>
          <w:u w:val="single"/>
        </w:rPr>
        <w:t>Вклад «Воїнам України» (строковий):</w:t>
      </w:r>
      <w:r w:rsidR="00A748E3" w:rsidRPr="006C2C92">
        <w:rPr>
          <w:b/>
          <w:bCs/>
        </w:rPr>
        <w:t xml:space="preserve"> </w:t>
      </w:r>
      <w:r w:rsidR="007A6A74" w:rsidRPr="006C2C92">
        <w:rPr>
          <w:b/>
          <w:bCs/>
        </w:rPr>
        <w:t>передбачено поповнення вкладу</w:t>
      </w:r>
      <w:r w:rsidR="007A6A74" w:rsidRPr="006C2C92">
        <w:t xml:space="preserve"> </w:t>
      </w:r>
      <w:r w:rsidR="005E50E8">
        <w:br/>
      </w:r>
      <w:r w:rsidR="007A6A74" w:rsidRPr="006C2C92">
        <w:t>(за виключенням останніх 30 днів дії договору)</w:t>
      </w:r>
      <w:r w:rsidR="00A748E3" w:rsidRPr="006C2C92">
        <w:rPr>
          <w:b/>
          <w:bCs/>
        </w:rPr>
        <w:t xml:space="preserve">; </w:t>
      </w:r>
      <w:r w:rsidR="007A6A74" w:rsidRPr="006C2C92">
        <w:rPr>
          <w:b/>
          <w:bCs/>
        </w:rPr>
        <w:t>автопролонгація вкладу; зняття вкладу або його частини до настання дати його повернення не допускається.</w:t>
      </w:r>
    </w:p>
    <w:p w:rsidR="003C33DD" w:rsidRPr="00743287" w:rsidRDefault="00A748E3" w:rsidP="00743287">
      <w:pPr>
        <w:pStyle w:val="a3"/>
        <w:spacing w:before="40" w:after="120"/>
        <w:rPr>
          <w:b/>
          <w:bCs/>
          <w:sz w:val="28"/>
          <w:szCs w:val="28"/>
        </w:rPr>
      </w:pPr>
      <w:r w:rsidRPr="006C2C92">
        <w:rPr>
          <w:b/>
          <w:bCs/>
          <w:i/>
          <w:iCs/>
          <w:sz w:val="28"/>
          <w:szCs w:val="28"/>
        </w:rPr>
        <w:t xml:space="preserve">Порядок виплати процентів (обирається вкладником): </w:t>
      </w:r>
      <w:r w:rsidR="00743287" w:rsidRPr="00743287">
        <w:rPr>
          <w:b/>
          <w:bCs/>
          <w:sz w:val="28"/>
          <w:szCs w:val="28"/>
        </w:rPr>
        <w:t>щомісячно або в кінці строку</w:t>
      </w:r>
      <w:r w:rsidR="00743287" w:rsidRPr="00743287">
        <w:rPr>
          <w:sz w:val="28"/>
          <w:szCs w:val="28"/>
        </w:rPr>
        <w:t xml:space="preserve"> </w:t>
      </w:r>
      <w:r w:rsidR="00743287" w:rsidRPr="00743287">
        <w:rPr>
          <w:b/>
          <w:bCs/>
          <w:sz w:val="28"/>
          <w:szCs w:val="28"/>
        </w:rPr>
        <w:t>на поточний рахунок.</w:t>
      </w:r>
    </w:p>
    <w:tbl>
      <w:tblPr>
        <w:tblpPr w:leftFromText="180" w:rightFromText="180" w:vertAnchor="text" w:horzAnchor="margin" w:tblpY="106"/>
        <w:tblW w:w="103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20"/>
        <w:gridCol w:w="1232"/>
        <w:gridCol w:w="1342"/>
        <w:gridCol w:w="1232"/>
        <w:gridCol w:w="1187"/>
        <w:gridCol w:w="1376"/>
        <w:gridCol w:w="1263"/>
      </w:tblGrid>
      <w:tr w:rsidR="002204D1" w:rsidRPr="006C2C92" w:rsidTr="00604B8B">
        <w:tblPrEx>
          <w:tblCellMar>
            <w:top w:w="0" w:type="dxa"/>
            <w:bottom w:w="0" w:type="dxa"/>
          </w:tblCellMar>
        </w:tblPrEx>
        <w:trPr>
          <w:cantSplit/>
          <w:trHeight w:val="469"/>
        </w:trPr>
        <w:tc>
          <w:tcPr>
            <w:tcW w:w="2720" w:type="dxa"/>
            <w:vMerge w:val="restart"/>
            <w:tcBorders>
              <w:top w:val="single" w:sz="4" w:space="0" w:color="auto"/>
              <w:left w:val="single" w:sz="4" w:space="0" w:color="auto"/>
              <w:right w:val="single" w:sz="4" w:space="0" w:color="auto"/>
            </w:tcBorders>
            <w:vAlign w:val="center"/>
          </w:tcPr>
          <w:p w:rsidR="002204D1" w:rsidRPr="006C2C92" w:rsidRDefault="002204D1" w:rsidP="00604B8B">
            <w:pPr>
              <w:jc w:val="center"/>
              <w:rPr>
                <w:b/>
                <w:bCs/>
                <w:sz w:val="26"/>
                <w:szCs w:val="26"/>
                <w:lang w:val="uk-UA"/>
              </w:rPr>
            </w:pPr>
            <w:r w:rsidRPr="006C2C92">
              <w:rPr>
                <w:b/>
                <w:bCs/>
                <w:sz w:val="26"/>
                <w:szCs w:val="26"/>
                <w:lang w:val="uk-UA"/>
              </w:rPr>
              <w:t>Строк вкладу, міс</w:t>
            </w:r>
            <w:r w:rsidRPr="006C2C92">
              <w:rPr>
                <w:sz w:val="26"/>
                <w:szCs w:val="26"/>
                <w:lang w:val="uk-UA"/>
              </w:rPr>
              <w:t>.</w:t>
            </w:r>
          </w:p>
        </w:tc>
        <w:tc>
          <w:tcPr>
            <w:tcW w:w="7632" w:type="dxa"/>
            <w:gridSpan w:val="6"/>
            <w:tcBorders>
              <w:top w:val="single" w:sz="4" w:space="0" w:color="auto"/>
              <w:left w:val="nil"/>
              <w:bottom w:val="nil"/>
              <w:right w:val="single" w:sz="4" w:space="0" w:color="auto"/>
            </w:tcBorders>
            <w:vAlign w:val="center"/>
          </w:tcPr>
          <w:p w:rsidR="002204D1" w:rsidRPr="006C2C92" w:rsidRDefault="002204D1" w:rsidP="00604B8B">
            <w:pPr>
              <w:pStyle w:val="a3"/>
              <w:jc w:val="center"/>
              <w:rPr>
                <w:b/>
                <w:bCs/>
                <w:sz w:val="26"/>
                <w:szCs w:val="26"/>
              </w:rPr>
            </w:pPr>
            <w:r w:rsidRPr="006C2C92">
              <w:rPr>
                <w:b/>
                <w:bCs/>
                <w:sz w:val="26"/>
                <w:szCs w:val="26"/>
              </w:rPr>
              <w:t>Процентна ставка, % річних</w:t>
            </w:r>
          </w:p>
        </w:tc>
      </w:tr>
      <w:tr w:rsidR="002204D1" w:rsidRPr="006C2C92" w:rsidTr="00604B8B">
        <w:tblPrEx>
          <w:tblCellMar>
            <w:top w:w="0" w:type="dxa"/>
            <w:bottom w:w="0" w:type="dxa"/>
          </w:tblCellMar>
        </w:tblPrEx>
        <w:trPr>
          <w:cantSplit/>
          <w:trHeight w:val="690"/>
        </w:trPr>
        <w:tc>
          <w:tcPr>
            <w:tcW w:w="2720" w:type="dxa"/>
            <w:vMerge/>
            <w:tcBorders>
              <w:left w:val="single" w:sz="4" w:space="0" w:color="auto"/>
              <w:right w:val="single" w:sz="4" w:space="0" w:color="auto"/>
            </w:tcBorders>
            <w:vAlign w:val="center"/>
          </w:tcPr>
          <w:p w:rsidR="002204D1" w:rsidRPr="006C2C92" w:rsidRDefault="002204D1" w:rsidP="00604B8B">
            <w:pPr>
              <w:jc w:val="center"/>
              <w:rPr>
                <w:sz w:val="26"/>
                <w:szCs w:val="26"/>
                <w:lang w:val="uk-UA"/>
              </w:rPr>
            </w:pPr>
          </w:p>
        </w:tc>
        <w:tc>
          <w:tcPr>
            <w:tcW w:w="3806" w:type="dxa"/>
            <w:gridSpan w:val="3"/>
            <w:tcBorders>
              <w:top w:val="single" w:sz="4" w:space="0" w:color="auto"/>
              <w:left w:val="nil"/>
              <w:bottom w:val="single" w:sz="4" w:space="0" w:color="auto"/>
              <w:right w:val="nil"/>
            </w:tcBorders>
            <w:vAlign w:val="center"/>
          </w:tcPr>
          <w:p w:rsidR="002204D1" w:rsidRPr="006C2C92" w:rsidRDefault="002204D1" w:rsidP="00604B8B">
            <w:pPr>
              <w:pStyle w:val="2"/>
              <w:rPr>
                <w:i w:val="0"/>
                <w:iCs w:val="0"/>
                <w:sz w:val="26"/>
                <w:szCs w:val="26"/>
              </w:rPr>
            </w:pPr>
            <w:r w:rsidRPr="006C2C92">
              <w:rPr>
                <w:i w:val="0"/>
                <w:iCs w:val="0"/>
                <w:sz w:val="26"/>
                <w:szCs w:val="26"/>
              </w:rPr>
              <w:t>Виплата процентів щомісячно</w:t>
            </w:r>
          </w:p>
        </w:tc>
        <w:tc>
          <w:tcPr>
            <w:tcW w:w="3826" w:type="dxa"/>
            <w:gridSpan w:val="3"/>
            <w:tcBorders>
              <w:top w:val="single" w:sz="4" w:space="0" w:color="auto"/>
              <w:left w:val="single" w:sz="4" w:space="0" w:color="auto"/>
              <w:bottom w:val="nil"/>
              <w:right w:val="single" w:sz="4" w:space="0" w:color="auto"/>
            </w:tcBorders>
            <w:vAlign w:val="center"/>
          </w:tcPr>
          <w:p w:rsidR="002204D1" w:rsidRPr="006C2C92" w:rsidRDefault="002204D1" w:rsidP="00604B8B">
            <w:pPr>
              <w:pStyle w:val="a3"/>
              <w:spacing w:after="20"/>
              <w:jc w:val="center"/>
              <w:rPr>
                <w:b/>
                <w:bCs/>
                <w:sz w:val="26"/>
                <w:szCs w:val="26"/>
              </w:rPr>
            </w:pPr>
            <w:r w:rsidRPr="006C2C92">
              <w:rPr>
                <w:b/>
                <w:bCs/>
                <w:sz w:val="26"/>
                <w:szCs w:val="26"/>
              </w:rPr>
              <w:t>Виплата процентів в кінці строку</w:t>
            </w:r>
          </w:p>
        </w:tc>
      </w:tr>
      <w:tr w:rsidR="002204D1" w:rsidRPr="006C2C92" w:rsidTr="00604B8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0" w:type="dxa"/>
            <w:bottom w:w="0" w:type="dxa"/>
          </w:tblCellMar>
        </w:tblPrEx>
        <w:trPr>
          <w:trHeight w:val="355"/>
        </w:trPr>
        <w:tc>
          <w:tcPr>
            <w:tcW w:w="2720" w:type="dxa"/>
            <w:vMerge/>
            <w:tcBorders>
              <w:left w:val="single" w:sz="4" w:space="0" w:color="auto"/>
              <w:bottom w:val="single" w:sz="4" w:space="0" w:color="auto"/>
              <w:right w:val="single" w:sz="4" w:space="0" w:color="auto"/>
            </w:tcBorders>
            <w:vAlign w:val="center"/>
          </w:tcPr>
          <w:p w:rsidR="002204D1" w:rsidRPr="006C2C92" w:rsidRDefault="002204D1" w:rsidP="00604B8B">
            <w:pPr>
              <w:jc w:val="center"/>
              <w:rPr>
                <w:sz w:val="26"/>
                <w:szCs w:val="26"/>
                <w:lang w:val="uk-UA"/>
              </w:rPr>
            </w:pPr>
          </w:p>
        </w:tc>
        <w:tc>
          <w:tcPr>
            <w:tcW w:w="1232" w:type="dxa"/>
            <w:tcBorders>
              <w:top w:val="single" w:sz="4" w:space="0" w:color="auto"/>
              <w:left w:val="nil"/>
              <w:bottom w:val="single" w:sz="4" w:space="0" w:color="auto"/>
              <w:right w:val="single" w:sz="4" w:space="0" w:color="auto"/>
            </w:tcBorders>
            <w:vAlign w:val="center"/>
          </w:tcPr>
          <w:p w:rsidR="002204D1" w:rsidRPr="006C2C92" w:rsidRDefault="002204D1" w:rsidP="00604B8B">
            <w:pPr>
              <w:ind w:left="-57" w:right="-57"/>
              <w:jc w:val="center"/>
              <w:rPr>
                <w:b/>
                <w:bCs/>
                <w:sz w:val="25"/>
                <w:szCs w:val="25"/>
                <w:lang w:val="uk-UA"/>
              </w:rPr>
            </w:pPr>
            <w:r w:rsidRPr="006C2C92">
              <w:rPr>
                <w:b/>
                <w:bCs/>
                <w:sz w:val="25"/>
                <w:szCs w:val="25"/>
                <w:lang w:val="uk-UA"/>
              </w:rPr>
              <w:t>в гривні</w:t>
            </w:r>
          </w:p>
        </w:tc>
        <w:tc>
          <w:tcPr>
            <w:tcW w:w="1342" w:type="dxa"/>
            <w:tcBorders>
              <w:top w:val="single" w:sz="4" w:space="0" w:color="auto"/>
              <w:left w:val="nil"/>
              <w:bottom w:val="single" w:sz="4" w:space="0" w:color="auto"/>
              <w:right w:val="single" w:sz="4" w:space="0" w:color="auto"/>
            </w:tcBorders>
            <w:vAlign w:val="center"/>
          </w:tcPr>
          <w:p w:rsidR="002204D1" w:rsidRPr="006C2C92" w:rsidRDefault="002204D1" w:rsidP="00604B8B">
            <w:pPr>
              <w:jc w:val="center"/>
              <w:rPr>
                <w:b/>
                <w:bCs/>
                <w:sz w:val="25"/>
                <w:szCs w:val="25"/>
                <w:lang w:val="uk-UA"/>
              </w:rPr>
            </w:pPr>
            <w:r w:rsidRPr="006C2C92">
              <w:rPr>
                <w:b/>
                <w:bCs/>
                <w:sz w:val="25"/>
                <w:szCs w:val="25"/>
                <w:lang w:val="uk-UA"/>
              </w:rPr>
              <w:t>в доларах США</w:t>
            </w:r>
          </w:p>
        </w:tc>
        <w:tc>
          <w:tcPr>
            <w:tcW w:w="1232" w:type="dxa"/>
            <w:tcBorders>
              <w:top w:val="single" w:sz="4" w:space="0" w:color="auto"/>
              <w:left w:val="single" w:sz="4" w:space="0" w:color="auto"/>
              <w:bottom w:val="single" w:sz="4" w:space="0" w:color="auto"/>
              <w:right w:val="nil"/>
            </w:tcBorders>
            <w:vAlign w:val="center"/>
          </w:tcPr>
          <w:p w:rsidR="002204D1" w:rsidRPr="006C2C92" w:rsidRDefault="002204D1" w:rsidP="00604B8B">
            <w:pPr>
              <w:jc w:val="center"/>
              <w:rPr>
                <w:b/>
                <w:bCs/>
                <w:sz w:val="25"/>
                <w:szCs w:val="25"/>
                <w:lang w:val="uk-UA"/>
              </w:rPr>
            </w:pPr>
            <w:r w:rsidRPr="006C2C92">
              <w:rPr>
                <w:b/>
                <w:bCs/>
                <w:sz w:val="25"/>
                <w:szCs w:val="25"/>
                <w:lang w:val="uk-UA"/>
              </w:rPr>
              <w:t>в євро</w:t>
            </w:r>
          </w:p>
        </w:tc>
        <w:tc>
          <w:tcPr>
            <w:tcW w:w="1187" w:type="dxa"/>
            <w:tcBorders>
              <w:top w:val="single" w:sz="4" w:space="0" w:color="auto"/>
              <w:left w:val="single" w:sz="4" w:space="0" w:color="auto"/>
              <w:bottom w:val="single" w:sz="4" w:space="0" w:color="auto"/>
              <w:right w:val="single" w:sz="4" w:space="0" w:color="auto"/>
            </w:tcBorders>
            <w:vAlign w:val="center"/>
          </w:tcPr>
          <w:p w:rsidR="002204D1" w:rsidRPr="006C2C92" w:rsidRDefault="002204D1" w:rsidP="002204D1">
            <w:pPr>
              <w:ind w:left="-57" w:right="-57"/>
              <w:jc w:val="center"/>
              <w:rPr>
                <w:b/>
                <w:bCs/>
                <w:sz w:val="25"/>
                <w:szCs w:val="25"/>
                <w:lang w:val="uk-UA"/>
              </w:rPr>
            </w:pPr>
            <w:r w:rsidRPr="006C2C92">
              <w:rPr>
                <w:b/>
                <w:bCs/>
                <w:sz w:val="25"/>
                <w:szCs w:val="25"/>
                <w:lang w:val="uk-UA"/>
              </w:rPr>
              <w:t>в гривні</w:t>
            </w:r>
          </w:p>
        </w:tc>
        <w:tc>
          <w:tcPr>
            <w:tcW w:w="1376" w:type="dxa"/>
            <w:tcBorders>
              <w:top w:val="single" w:sz="4" w:space="0" w:color="auto"/>
              <w:left w:val="single" w:sz="4" w:space="0" w:color="auto"/>
              <w:bottom w:val="single" w:sz="4" w:space="0" w:color="auto"/>
              <w:right w:val="single" w:sz="4" w:space="0" w:color="auto"/>
            </w:tcBorders>
            <w:vAlign w:val="center"/>
          </w:tcPr>
          <w:p w:rsidR="002204D1" w:rsidRPr="006C2C92" w:rsidRDefault="002204D1" w:rsidP="00604B8B">
            <w:pPr>
              <w:jc w:val="center"/>
              <w:rPr>
                <w:b/>
                <w:bCs/>
                <w:sz w:val="25"/>
                <w:szCs w:val="25"/>
                <w:lang w:val="uk-UA"/>
              </w:rPr>
            </w:pPr>
            <w:r w:rsidRPr="006C2C92">
              <w:rPr>
                <w:b/>
                <w:bCs/>
                <w:sz w:val="25"/>
                <w:szCs w:val="25"/>
                <w:lang w:val="uk-UA"/>
              </w:rPr>
              <w:t>в доларах США</w:t>
            </w:r>
          </w:p>
        </w:tc>
        <w:tc>
          <w:tcPr>
            <w:tcW w:w="1263" w:type="dxa"/>
            <w:tcBorders>
              <w:top w:val="single" w:sz="4" w:space="0" w:color="auto"/>
              <w:left w:val="single" w:sz="4" w:space="0" w:color="auto"/>
              <w:bottom w:val="single" w:sz="4" w:space="0" w:color="auto"/>
              <w:right w:val="single" w:sz="4" w:space="0" w:color="auto"/>
            </w:tcBorders>
            <w:vAlign w:val="center"/>
          </w:tcPr>
          <w:p w:rsidR="002204D1" w:rsidRPr="006C2C92" w:rsidRDefault="002204D1" w:rsidP="00604B8B">
            <w:pPr>
              <w:jc w:val="center"/>
              <w:rPr>
                <w:b/>
                <w:bCs/>
                <w:sz w:val="25"/>
                <w:szCs w:val="25"/>
                <w:lang w:val="uk-UA"/>
              </w:rPr>
            </w:pPr>
            <w:r w:rsidRPr="006C2C92">
              <w:rPr>
                <w:b/>
                <w:bCs/>
                <w:sz w:val="25"/>
                <w:szCs w:val="25"/>
                <w:lang w:val="uk-UA"/>
              </w:rPr>
              <w:t>в євро</w:t>
            </w:r>
          </w:p>
        </w:tc>
      </w:tr>
      <w:tr w:rsidR="005D0F6C" w:rsidRPr="006C2C92" w:rsidTr="00604B8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0" w:type="dxa"/>
            <w:bottom w:w="0" w:type="dxa"/>
          </w:tblCellMar>
        </w:tblPrEx>
        <w:trPr>
          <w:trHeight w:val="397"/>
        </w:trPr>
        <w:tc>
          <w:tcPr>
            <w:tcW w:w="2720" w:type="dxa"/>
            <w:tcBorders>
              <w:top w:val="nil"/>
              <w:left w:val="single" w:sz="4" w:space="0" w:color="auto"/>
              <w:right w:val="nil"/>
            </w:tcBorders>
            <w:vAlign w:val="center"/>
          </w:tcPr>
          <w:p w:rsidR="005D0F6C" w:rsidRDefault="005D0F6C" w:rsidP="005D0F6C">
            <w:pPr>
              <w:ind w:left="-57" w:right="-57"/>
              <w:jc w:val="center"/>
              <w:rPr>
                <w:sz w:val="26"/>
                <w:szCs w:val="26"/>
                <w:lang w:val="en-US"/>
              </w:rPr>
            </w:pPr>
            <w:r w:rsidRPr="006C2C92">
              <w:rPr>
                <w:sz w:val="26"/>
                <w:szCs w:val="26"/>
                <w:lang w:val="uk-UA"/>
              </w:rPr>
              <w:t>3 місяці</w:t>
            </w:r>
          </w:p>
          <w:p w:rsidR="005D0F6C" w:rsidRPr="00B06867" w:rsidRDefault="005D0F6C" w:rsidP="005D0F6C">
            <w:pPr>
              <w:ind w:left="-57" w:right="-57"/>
              <w:jc w:val="center"/>
              <w:rPr>
                <w:sz w:val="26"/>
                <w:szCs w:val="26"/>
                <w:lang w:val="uk-UA"/>
              </w:rPr>
            </w:pPr>
            <w:r w:rsidRPr="00B06867">
              <w:rPr>
                <w:szCs w:val="26"/>
                <w:lang w:val="en-US"/>
              </w:rPr>
              <w:t xml:space="preserve">(93 – 96 </w:t>
            </w:r>
            <w:r w:rsidRPr="00B06867">
              <w:rPr>
                <w:szCs w:val="26"/>
                <w:lang w:val="uk-UA"/>
              </w:rPr>
              <w:t>днів)</w:t>
            </w:r>
          </w:p>
        </w:tc>
        <w:tc>
          <w:tcPr>
            <w:tcW w:w="1232" w:type="dxa"/>
            <w:tcBorders>
              <w:top w:val="nil"/>
              <w:left w:val="single" w:sz="4" w:space="0" w:color="auto"/>
              <w:right w:val="single" w:sz="4" w:space="0" w:color="auto"/>
            </w:tcBorders>
            <w:vAlign w:val="center"/>
          </w:tcPr>
          <w:p w:rsidR="005D0F6C" w:rsidRPr="006C2C92" w:rsidRDefault="005D0F6C" w:rsidP="005D0F6C">
            <w:pPr>
              <w:ind w:right="-1"/>
              <w:jc w:val="center"/>
              <w:rPr>
                <w:rFonts w:ascii="Arial" w:hAnsi="Arial" w:cs="Arial"/>
                <w:b/>
                <w:bCs/>
                <w:sz w:val="26"/>
                <w:szCs w:val="26"/>
                <w:lang w:val="uk-UA"/>
              </w:rPr>
            </w:pPr>
            <w:r w:rsidRPr="006C2C92">
              <w:rPr>
                <w:rFonts w:ascii="Arial" w:hAnsi="Arial" w:cs="Arial"/>
                <w:b/>
                <w:bCs/>
                <w:sz w:val="26"/>
                <w:szCs w:val="26"/>
                <w:lang w:val="uk-UA"/>
              </w:rPr>
              <w:t>1</w:t>
            </w:r>
            <w:r>
              <w:rPr>
                <w:rFonts w:ascii="Arial" w:hAnsi="Arial" w:cs="Arial"/>
                <w:b/>
                <w:bCs/>
                <w:sz w:val="26"/>
                <w:szCs w:val="26"/>
                <w:lang w:val="en-US"/>
              </w:rPr>
              <w:t>5</w:t>
            </w:r>
            <w:r w:rsidRPr="006C2C92">
              <w:rPr>
                <w:rFonts w:ascii="Arial" w:hAnsi="Arial" w:cs="Arial"/>
                <w:b/>
                <w:bCs/>
                <w:sz w:val="26"/>
                <w:szCs w:val="26"/>
                <w:lang w:val="uk-UA"/>
              </w:rPr>
              <w:t>,</w:t>
            </w:r>
            <w:r>
              <w:rPr>
                <w:rFonts w:ascii="Arial" w:hAnsi="Arial" w:cs="Arial"/>
                <w:b/>
                <w:bCs/>
                <w:sz w:val="26"/>
                <w:szCs w:val="26"/>
                <w:lang w:val="uk-UA"/>
              </w:rPr>
              <w:t>0</w:t>
            </w:r>
          </w:p>
        </w:tc>
        <w:tc>
          <w:tcPr>
            <w:tcW w:w="1342" w:type="dxa"/>
            <w:tcBorders>
              <w:top w:val="nil"/>
              <w:left w:val="nil"/>
              <w:right w:val="single" w:sz="4" w:space="0" w:color="auto"/>
            </w:tcBorders>
            <w:vAlign w:val="center"/>
          </w:tcPr>
          <w:p w:rsidR="005D0F6C" w:rsidRPr="006C2C92" w:rsidRDefault="005D0F6C" w:rsidP="005D0F6C">
            <w:pPr>
              <w:ind w:right="-1"/>
              <w:jc w:val="center"/>
              <w:rPr>
                <w:rFonts w:ascii="Arial" w:hAnsi="Arial" w:cs="Arial"/>
                <w:b/>
                <w:bCs/>
                <w:sz w:val="26"/>
                <w:szCs w:val="26"/>
                <w:lang w:val="uk-UA"/>
              </w:rPr>
            </w:pPr>
            <w:r>
              <w:rPr>
                <w:rFonts w:ascii="Arial" w:hAnsi="Arial" w:cs="Arial"/>
                <w:b/>
                <w:bCs/>
                <w:sz w:val="26"/>
                <w:szCs w:val="26"/>
                <w:lang w:val="uk-UA"/>
              </w:rPr>
              <w:t>1,5</w:t>
            </w:r>
          </w:p>
        </w:tc>
        <w:tc>
          <w:tcPr>
            <w:tcW w:w="1232" w:type="dxa"/>
            <w:tcBorders>
              <w:top w:val="nil"/>
              <w:left w:val="single" w:sz="4" w:space="0" w:color="auto"/>
              <w:right w:val="nil"/>
            </w:tcBorders>
            <w:vAlign w:val="center"/>
          </w:tcPr>
          <w:p w:rsidR="005D0F6C" w:rsidRPr="006C2C92" w:rsidRDefault="005D0F6C" w:rsidP="005D0F6C">
            <w:pPr>
              <w:ind w:right="-1"/>
              <w:jc w:val="center"/>
              <w:rPr>
                <w:rFonts w:ascii="Arial" w:hAnsi="Arial" w:cs="Arial"/>
                <w:b/>
                <w:bCs/>
                <w:sz w:val="26"/>
                <w:szCs w:val="26"/>
                <w:lang w:val="uk-UA"/>
              </w:rPr>
            </w:pPr>
            <w:r>
              <w:rPr>
                <w:rFonts w:ascii="Arial" w:hAnsi="Arial" w:cs="Arial"/>
                <w:b/>
                <w:bCs/>
                <w:sz w:val="26"/>
                <w:szCs w:val="26"/>
                <w:lang w:val="uk-UA"/>
              </w:rPr>
              <w:t>1,5</w:t>
            </w:r>
          </w:p>
        </w:tc>
        <w:tc>
          <w:tcPr>
            <w:tcW w:w="1187" w:type="dxa"/>
            <w:tcBorders>
              <w:top w:val="nil"/>
              <w:left w:val="single" w:sz="4" w:space="0" w:color="auto"/>
              <w:right w:val="single" w:sz="4" w:space="0" w:color="auto"/>
            </w:tcBorders>
            <w:vAlign w:val="center"/>
          </w:tcPr>
          <w:p w:rsidR="005D0F6C" w:rsidRPr="006C2C92" w:rsidRDefault="005D0F6C" w:rsidP="005D0F6C">
            <w:pPr>
              <w:ind w:right="-1"/>
              <w:jc w:val="center"/>
              <w:rPr>
                <w:rFonts w:ascii="Arial" w:hAnsi="Arial" w:cs="Arial"/>
                <w:b/>
                <w:bCs/>
                <w:sz w:val="26"/>
                <w:szCs w:val="26"/>
                <w:lang w:val="uk-UA"/>
              </w:rPr>
            </w:pPr>
            <w:r w:rsidRPr="006C2C92">
              <w:rPr>
                <w:rFonts w:ascii="Arial" w:hAnsi="Arial" w:cs="Arial"/>
                <w:b/>
                <w:bCs/>
                <w:sz w:val="26"/>
                <w:szCs w:val="26"/>
                <w:lang w:val="uk-UA"/>
              </w:rPr>
              <w:t>1</w:t>
            </w:r>
            <w:r>
              <w:rPr>
                <w:rFonts w:ascii="Arial" w:hAnsi="Arial" w:cs="Arial"/>
                <w:b/>
                <w:bCs/>
                <w:sz w:val="26"/>
                <w:szCs w:val="26"/>
                <w:lang w:val="en-US"/>
              </w:rPr>
              <w:t>5</w:t>
            </w:r>
            <w:r w:rsidRPr="006C2C92">
              <w:rPr>
                <w:rFonts w:ascii="Arial" w:hAnsi="Arial" w:cs="Arial"/>
                <w:b/>
                <w:bCs/>
                <w:sz w:val="26"/>
                <w:szCs w:val="26"/>
                <w:lang w:val="uk-UA"/>
              </w:rPr>
              <w:t>,</w:t>
            </w:r>
            <w:r>
              <w:rPr>
                <w:rFonts w:ascii="Arial" w:hAnsi="Arial" w:cs="Arial"/>
                <w:b/>
                <w:bCs/>
                <w:sz w:val="26"/>
                <w:szCs w:val="26"/>
                <w:lang w:val="uk-UA"/>
              </w:rPr>
              <w:t>2</w:t>
            </w:r>
          </w:p>
        </w:tc>
        <w:tc>
          <w:tcPr>
            <w:tcW w:w="1376" w:type="dxa"/>
            <w:tcBorders>
              <w:left w:val="single" w:sz="4" w:space="0" w:color="auto"/>
              <w:right w:val="single" w:sz="4" w:space="0" w:color="auto"/>
            </w:tcBorders>
            <w:vAlign w:val="center"/>
          </w:tcPr>
          <w:p w:rsidR="005D0F6C" w:rsidRPr="006C2C92" w:rsidRDefault="005D0F6C" w:rsidP="005D0F6C">
            <w:pPr>
              <w:ind w:right="-1"/>
              <w:jc w:val="center"/>
              <w:rPr>
                <w:rFonts w:ascii="Arial" w:hAnsi="Arial" w:cs="Arial"/>
                <w:b/>
                <w:bCs/>
                <w:sz w:val="26"/>
                <w:szCs w:val="26"/>
                <w:lang w:val="uk-UA"/>
              </w:rPr>
            </w:pPr>
            <w:r>
              <w:rPr>
                <w:rFonts w:ascii="Arial" w:hAnsi="Arial" w:cs="Arial"/>
                <w:b/>
                <w:bCs/>
                <w:sz w:val="26"/>
                <w:szCs w:val="26"/>
                <w:lang w:val="uk-UA"/>
              </w:rPr>
              <w:t>1,5</w:t>
            </w:r>
          </w:p>
        </w:tc>
        <w:tc>
          <w:tcPr>
            <w:tcW w:w="1263" w:type="dxa"/>
            <w:tcBorders>
              <w:left w:val="single" w:sz="4" w:space="0" w:color="auto"/>
              <w:right w:val="single" w:sz="4" w:space="0" w:color="auto"/>
            </w:tcBorders>
            <w:vAlign w:val="center"/>
          </w:tcPr>
          <w:p w:rsidR="005D0F6C" w:rsidRPr="006C2C92" w:rsidRDefault="005D0F6C" w:rsidP="005D0F6C">
            <w:pPr>
              <w:ind w:right="-1"/>
              <w:jc w:val="center"/>
              <w:rPr>
                <w:rFonts w:ascii="Arial" w:hAnsi="Arial" w:cs="Arial"/>
                <w:b/>
                <w:bCs/>
                <w:sz w:val="26"/>
                <w:szCs w:val="26"/>
                <w:lang w:val="uk-UA"/>
              </w:rPr>
            </w:pPr>
            <w:r>
              <w:rPr>
                <w:rFonts w:ascii="Arial" w:hAnsi="Arial" w:cs="Arial"/>
                <w:b/>
                <w:bCs/>
                <w:sz w:val="26"/>
                <w:szCs w:val="26"/>
                <w:lang w:val="uk-UA"/>
              </w:rPr>
              <w:t>1,5</w:t>
            </w:r>
          </w:p>
        </w:tc>
      </w:tr>
      <w:tr w:rsidR="005D0F6C" w:rsidRPr="006C2C92" w:rsidTr="00604B8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0" w:type="dxa"/>
            <w:bottom w:w="0" w:type="dxa"/>
          </w:tblCellMar>
        </w:tblPrEx>
        <w:trPr>
          <w:trHeight w:val="397"/>
        </w:trPr>
        <w:tc>
          <w:tcPr>
            <w:tcW w:w="2720" w:type="dxa"/>
            <w:tcBorders>
              <w:top w:val="nil"/>
              <w:left w:val="single" w:sz="4" w:space="0" w:color="auto"/>
              <w:right w:val="nil"/>
            </w:tcBorders>
            <w:vAlign w:val="center"/>
          </w:tcPr>
          <w:p w:rsidR="005D0F6C" w:rsidRPr="006C2C92" w:rsidRDefault="005D0F6C" w:rsidP="005D0F6C">
            <w:pPr>
              <w:ind w:left="-57" w:right="-57"/>
              <w:jc w:val="center"/>
              <w:rPr>
                <w:sz w:val="26"/>
                <w:szCs w:val="26"/>
                <w:lang w:val="uk-UA"/>
              </w:rPr>
            </w:pPr>
            <w:r w:rsidRPr="006C2C92">
              <w:rPr>
                <w:sz w:val="26"/>
                <w:szCs w:val="26"/>
                <w:lang w:val="uk-UA"/>
              </w:rPr>
              <w:t>12 місяців</w:t>
            </w:r>
          </w:p>
        </w:tc>
        <w:tc>
          <w:tcPr>
            <w:tcW w:w="1232" w:type="dxa"/>
            <w:tcBorders>
              <w:top w:val="nil"/>
              <w:left w:val="single" w:sz="4" w:space="0" w:color="auto"/>
              <w:right w:val="single" w:sz="4" w:space="0" w:color="auto"/>
            </w:tcBorders>
            <w:vAlign w:val="center"/>
          </w:tcPr>
          <w:p w:rsidR="005D0F6C" w:rsidRPr="006C2C92" w:rsidRDefault="005D0F6C" w:rsidP="005D0F6C">
            <w:pPr>
              <w:jc w:val="center"/>
              <w:rPr>
                <w:rFonts w:ascii="Arial" w:hAnsi="Arial" w:cs="Arial"/>
                <w:b/>
                <w:bCs/>
                <w:sz w:val="26"/>
                <w:szCs w:val="26"/>
                <w:lang w:val="uk-UA"/>
              </w:rPr>
            </w:pPr>
            <w:r w:rsidRPr="006C2C92">
              <w:rPr>
                <w:rFonts w:ascii="Arial" w:hAnsi="Arial" w:cs="Arial"/>
                <w:b/>
                <w:bCs/>
                <w:sz w:val="26"/>
                <w:szCs w:val="26"/>
                <w:lang w:val="uk-UA"/>
              </w:rPr>
              <w:t>1</w:t>
            </w:r>
            <w:r>
              <w:rPr>
                <w:rFonts w:ascii="Arial" w:hAnsi="Arial" w:cs="Arial"/>
                <w:b/>
                <w:bCs/>
                <w:sz w:val="26"/>
                <w:szCs w:val="26"/>
                <w:lang w:val="uk-UA"/>
              </w:rPr>
              <w:t>5</w:t>
            </w:r>
            <w:r w:rsidRPr="006C2C92">
              <w:rPr>
                <w:rFonts w:ascii="Arial" w:hAnsi="Arial" w:cs="Arial"/>
                <w:b/>
                <w:bCs/>
                <w:sz w:val="26"/>
                <w:szCs w:val="26"/>
                <w:lang w:val="uk-UA"/>
              </w:rPr>
              <w:t>,</w:t>
            </w:r>
            <w:r>
              <w:rPr>
                <w:rFonts w:ascii="Arial" w:hAnsi="Arial" w:cs="Arial"/>
                <w:b/>
                <w:bCs/>
                <w:sz w:val="26"/>
                <w:szCs w:val="26"/>
                <w:lang w:val="uk-UA"/>
              </w:rPr>
              <w:t>5</w:t>
            </w:r>
          </w:p>
        </w:tc>
        <w:tc>
          <w:tcPr>
            <w:tcW w:w="1342" w:type="dxa"/>
            <w:tcBorders>
              <w:top w:val="nil"/>
              <w:left w:val="nil"/>
              <w:right w:val="single" w:sz="4" w:space="0" w:color="auto"/>
            </w:tcBorders>
            <w:vAlign w:val="center"/>
          </w:tcPr>
          <w:p w:rsidR="005D0F6C" w:rsidRPr="006C2C92" w:rsidRDefault="005D0F6C" w:rsidP="005D0F6C">
            <w:pPr>
              <w:jc w:val="center"/>
              <w:rPr>
                <w:rFonts w:ascii="Arial" w:hAnsi="Arial" w:cs="Arial"/>
                <w:b/>
                <w:bCs/>
                <w:sz w:val="26"/>
                <w:szCs w:val="26"/>
                <w:lang w:val="uk-UA"/>
              </w:rPr>
            </w:pPr>
            <w:r>
              <w:rPr>
                <w:rFonts w:ascii="Arial" w:hAnsi="Arial" w:cs="Arial"/>
                <w:b/>
                <w:bCs/>
                <w:sz w:val="26"/>
                <w:szCs w:val="26"/>
                <w:lang w:val="uk-UA"/>
              </w:rPr>
              <w:t>2,0</w:t>
            </w:r>
          </w:p>
        </w:tc>
        <w:tc>
          <w:tcPr>
            <w:tcW w:w="1232" w:type="dxa"/>
            <w:tcBorders>
              <w:top w:val="nil"/>
              <w:left w:val="single" w:sz="4" w:space="0" w:color="auto"/>
              <w:right w:val="nil"/>
            </w:tcBorders>
            <w:vAlign w:val="center"/>
          </w:tcPr>
          <w:p w:rsidR="005D0F6C" w:rsidRPr="006C2C92" w:rsidRDefault="005D0F6C" w:rsidP="005D0F6C">
            <w:pPr>
              <w:jc w:val="center"/>
              <w:rPr>
                <w:rFonts w:ascii="Arial" w:hAnsi="Arial" w:cs="Arial"/>
                <w:b/>
                <w:bCs/>
                <w:sz w:val="26"/>
                <w:szCs w:val="26"/>
                <w:lang w:val="uk-UA"/>
              </w:rPr>
            </w:pPr>
            <w:r>
              <w:rPr>
                <w:rFonts w:ascii="Arial" w:hAnsi="Arial" w:cs="Arial"/>
                <w:b/>
                <w:bCs/>
                <w:sz w:val="26"/>
                <w:szCs w:val="26"/>
                <w:lang w:val="uk-UA"/>
              </w:rPr>
              <w:t>2,0</w:t>
            </w:r>
          </w:p>
        </w:tc>
        <w:tc>
          <w:tcPr>
            <w:tcW w:w="1187" w:type="dxa"/>
            <w:tcBorders>
              <w:top w:val="nil"/>
              <w:left w:val="single" w:sz="4" w:space="0" w:color="auto"/>
              <w:right w:val="single" w:sz="4" w:space="0" w:color="auto"/>
            </w:tcBorders>
            <w:vAlign w:val="center"/>
          </w:tcPr>
          <w:p w:rsidR="005D0F6C" w:rsidRPr="006C2C92" w:rsidRDefault="005D0F6C" w:rsidP="005D0F6C">
            <w:pPr>
              <w:jc w:val="center"/>
              <w:rPr>
                <w:rFonts w:ascii="Arial" w:hAnsi="Arial" w:cs="Arial"/>
                <w:b/>
                <w:bCs/>
                <w:sz w:val="26"/>
                <w:szCs w:val="26"/>
                <w:lang w:val="uk-UA"/>
              </w:rPr>
            </w:pPr>
            <w:r>
              <w:rPr>
                <w:rFonts w:ascii="Arial" w:hAnsi="Arial" w:cs="Arial"/>
                <w:b/>
                <w:bCs/>
                <w:sz w:val="26"/>
                <w:szCs w:val="26"/>
                <w:lang w:val="en-US"/>
              </w:rPr>
              <w:t>16</w:t>
            </w:r>
            <w:r w:rsidRPr="006C2C92">
              <w:rPr>
                <w:rFonts w:ascii="Arial" w:hAnsi="Arial" w:cs="Arial"/>
                <w:b/>
                <w:bCs/>
                <w:sz w:val="26"/>
                <w:szCs w:val="26"/>
                <w:lang w:val="uk-UA"/>
              </w:rPr>
              <w:t>,</w:t>
            </w:r>
            <w:r>
              <w:rPr>
                <w:rFonts w:ascii="Arial" w:hAnsi="Arial" w:cs="Arial"/>
                <w:b/>
                <w:bCs/>
                <w:sz w:val="26"/>
                <w:szCs w:val="26"/>
                <w:lang w:val="uk-UA"/>
              </w:rPr>
              <w:t>6</w:t>
            </w:r>
          </w:p>
        </w:tc>
        <w:tc>
          <w:tcPr>
            <w:tcW w:w="1376" w:type="dxa"/>
            <w:tcBorders>
              <w:left w:val="single" w:sz="4" w:space="0" w:color="auto"/>
              <w:right w:val="single" w:sz="4" w:space="0" w:color="auto"/>
            </w:tcBorders>
            <w:vAlign w:val="center"/>
          </w:tcPr>
          <w:p w:rsidR="005D0F6C" w:rsidRPr="006C2C92" w:rsidRDefault="005D0F6C" w:rsidP="005D0F6C">
            <w:pPr>
              <w:jc w:val="center"/>
              <w:rPr>
                <w:rFonts w:ascii="Arial" w:hAnsi="Arial" w:cs="Arial"/>
                <w:b/>
                <w:bCs/>
                <w:sz w:val="26"/>
                <w:szCs w:val="26"/>
                <w:lang w:val="uk-UA"/>
              </w:rPr>
            </w:pPr>
            <w:r>
              <w:rPr>
                <w:rFonts w:ascii="Arial" w:hAnsi="Arial" w:cs="Arial"/>
                <w:b/>
                <w:bCs/>
                <w:sz w:val="26"/>
                <w:szCs w:val="26"/>
                <w:lang w:val="uk-UA"/>
              </w:rPr>
              <w:t>2,02</w:t>
            </w:r>
          </w:p>
        </w:tc>
        <w:tc>
          <w:tcPr>
            <w:tcW w:w="1263" w:type="dxa"/>
            <w:tcBorders>
              <w:left w:val="single" w:sz="4" w:space="0" w:color="auto"/>
              <w:right w:val="single" w:sz="4" w:space="0" w:color="auto"/>
            </w:tcBorders>
            <w:vAlign w:val="center"/>
          </w:tcPr>
          <w:p w:rsidR="005D0F6C" w:rsidRPr="006C2C92" w:rsidRDefault="005D0F6C" w:rsidP="005D0F6C">
            <w:pPr>
              <w:jc w:val="center"/>
              <w:rPr>
                <w:rFonts w:ascii="Arial" w:hAnsi="Arial" w:cs="Arial"/>
                <w:b/>
                <w:bCs/>
                <w:sz w:val="26"/>
                <w:szCs w:val="26"/>
                <w:lang w:val="uk-UA"/>
              </w:rPr>
            </w:pPr>
            <w:r>
              <w:rPr>
                <w:rFonts w:ascii="Arial" w:hAnsi="Arial" w:cs="Arial"/>
                <w:b/>
                <w:bCs/>
                <w:sz w:val="26"/>
                <w:szCs w:val="26"/>
                <w:lang w:val="uk-UA"/>
              </w:rPr>
              <w:t>2,02</w:t>
            </w:r>
          </w:p>
        </w:tc>
      </w:tr>
      <w:tr w:rsidR="005D0F6C" w:rsidRPr="006C2C92" w:rsidTr="00604B8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0" w:type="dxa"/>
            <w:bottom w:w="0" w:type="dxa"/>
          </w:tblCellMar>
        </w:tblPrEx>
        <w:trPr>
          <w:trHeight w:val="94"/>
        </w:trPr>
        <w:tc>
          <w:tcPr>
            <w:tcW w:w="2720" w:type="dxa"/>
            <w:tcBorders>
              <w:top w:val="single" w:sz="4" w:space="0" w:color="auto"/>
              <w:left w:val="single" w:sz="4" w:space="0" w:color="auto"/>
              <w:bottom w:val="single" w:sz="4" w:space="0" w:color="auto"/>
              <w:right w:val="nil"/>
            </w:tcBorders>
            <w:shd w:val="clear" w:color="auto" w:fill="C0C0C0"/>
            <w:vAlign w:val="center"/>
          </w:tcPr>
          <w:p w:rsidR="005D0F6C" w:rsidRPr="006C2C92" w:rsidRDefault="005D0F6C" w:rsidP="005D0F6C">
            <w:pPr>
              <w:pStyle w:val="21"/>
              <w:rPr>
                <w:b/>
                <w:bCs/>
                <w:sz w:val="10"/>
                <w:szCs w:val="10"/>
              </w:rPr>
            </w:pPr>
          </w:p>
        </w:tc>
        <w:tc>
          <w:tcPr>
            <w:tcW w:w="1232" w:type="dxa"/>
            <w:tcBorders>
              <w:top w:val="single" w:sz="4" w:space="0" w:color="auto"/>
              <w:left w:val="nil"/>
              <w:bottom w:val="single" w:sz="4" w:space="0" w:color="auto"/>
              <w:right w:val="nil"/>
            </w:tcBorders>
            <w:shd w:val="clear" w:color="auto" w:fill="C0C0C0"/>
            <w:vAlign w:val="center"/>
          </w:tcPr>
          <w:p w:rsidR="005D0F6C" w:rsidRPr="006C2C92" w:rsidRDefault="005D0F6C" w:rsidP="005D0F6C">
            <w:pPr>
              <w:pStyle w:val="21"/>
              <w:rPr>
                <w:b/>
                <w:bCs/>
                <w:sz w:val="10"/>
                <w:szCs w:val="10"/>
              </w:rPr>
            </w:pPr>
          </w:p>
        </w:tc>
        <w:tc>
          <w:tcPr>
            <w:tcW w:w="1342" w:type="dxa"/>
            <w:tcBorders>
              <w:top w:val="single" w:sz="4" w:space="0" w:color="auto"/>
              <w:left w:val="nil"/>
              <w:bottom w:val="single" w:sz="4" w:space="0" w:color="auto"/>
              <w:right w:val="nil"/>
            </w:tcBorders>
            <w:shd w:val="clear" w:color="auto" w:fill="C0C0C0"/>
            <w:vAlign w:val="center"/>
          </w:tcPr>
          <w:p w:rsidR="005D0F6C" w:rsidRPr="006C2C92" w:rsidRDefault="005D0F6C" w:rsidP="005D0F6C">
            <w:pPr>
              <w:pStyle w:val="21"/>
              <w:rPr>
                <w:b/>
                <w:bCs/>
                <w:sz w:val="10"/>
                <w:szCs w:val="10"/>
              </w:rPr>
            </w:pPr>
          </w:p>
        </w:tc>
        <w:tc>
          <w:tcPr>
            <w:tcW w:w="1232" w:type="dxa"/>
            <w:tcBorders>
              <w:top w:val="single" w:sz="4" w:space="0" w:color="auto"/>
              <w:left w:val="nil"/>
              <w:bottom w:val="single" w:sz="4" w:space="0" w:color="auto"/>
              <w:right w:val="nil"/>
            </w:tcBorders>
            <w:shd w:val="clear" w:color="auto" w:fill="C0C0C0"/>
            <w:vAlign w:val="center"/>
          </w:tcPr>
          <w:p w:rsidR="005D0F6C" w:rsidRPr="006C2C92" w:rsidRDefault="005D0F6C" w:rsidP="005D0F6C">
            <w:pPr>
              <w:pStyle w:val="21"/>
              <w:rPr>
                <w:b/>
                <w:bCs/>
                <w:sz w:val="10"/>
                <w:szCs w:val="10"/>
              </w:rPr>
            </w:pPr>
          </w:p>
        </w:tc>
        <w:tc>
          <w:tcPr>
            <w:tcW w:w="1187" w:type="dxa"/>
            <w:tcBorders>
              <w:top w:val="single" w:sz="4" w:space="0" w:color="auto"/>
              <w:left w:val="nil"/>
              <w:bottom w:val="single" w:sz="4" w:space="0" w:color="auto"/>
              <w:right w:val="nil"/>
            </w:tcBorders>
            <w:shd w:val="clear" w:color="auto" w:fill="C0C0C0"/>
            <w:vAlign w:val="center"/>
          </w:tcPr>
          <w:p w:rsidR="005D0F6C" w:rsidRPr="006C2C92" w:rsidRDefault="005D0F6C" w:rsidP="005D0F6C">
            <w:pPr>
              <w:pStyle w:val="21"/>
              <w:rPr>
                <w:b/>
                <w:bCs/>
                <w:sz w:val="10"/>
                <w:szCs w:val="10"/>
              </w:rPr>
            </w:pPr>
          </w:p>
        </w:tc>
        <w:tc>
          <w:tcPr>
            <w:tcW w:w="1376" w:type="dxa"/>
            <w:tcBorders>
              <w:top w:val="single" w:sz="4" w:space="0" w:color="auto"/>
              <w:left w:val="nil"/>
              <w:bottom w:val="single" w:sz="4" w:space="0" w:color="auto"/>
              <w:right w:val="nil"/>
            </w:tcBorders>
            <w:shd w:val="clear" w:color="auto" w:fill="C0C0C0"/>
            <w:vAlign w:val="center"/>
          </w:tcPr>
          <w:p w:rsidR="005D0F6C" w:rsidRPr="006C2C92" w:rsidRDefault="005D0F6C" w:rsidP="005D0F6C">
            <w:pPr>
              <w:pStyle w:val="21"/>
              <w:rPr>
                <w:b/>
                <w:bCs/>
                <w:sz w:val="10"/>
                <w:szCs w:val="10"/>
              </w:rPr>
            </w:pPr>
          </w:p>
        </w:tc>
        <w:tc>
          <w:tcPr>
            <w:tcW w:w="1263" w:type="dxa"/>
            <w:tcBorders>
              <w:top w:val="single" w:sz="4" w:space="0" w:color="auto"/>
              <w:left w:val="nil"/>
              <w:bottom w:val="single" w:sz="4" w:space="0" w:color="auto"/>
              <w:right w:val="single" w:sz="4" w:space="0" w:color="auto"/>
            </w:tcBorders>
            <w:shd w:val="clear" w:color="auto" w:fill="C0C0C0"/>
            <w:vAlign w:val="center"/>
          </w:tcPr>
          <w:p w:rsidR="005D0F6C" w:rsidRPr="006C2C92" w:rsidRDefault="005D0F6C" w:rsidP="005D0F6C">
            <w:pPr>
              <w:pStyle w:val="21"/>
              <w:rPr>
                <w:b/>
                <w:bCs/>
                <w:sz w:val="10"/>
                <w:szCs w:val="10"/>
              </w:rPr>
            </w:pPr>
          </w:p>
        </w:tc>
      </w:tr>
      <w:tr w:rsidR="002204D1" w:rsidRPr="006C2C92" w:rsidTr="00604B8B">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0" w:type="dxa"/>
            <w:bottom w:w="0" w:type="dxa"/>
          </w:tblCellMar>
        </w:tblPrEx>
        <w:trPr>
          <w:cantSplit/>
          <w:trHeight w:val="510"/>
        </w:trPr>
        <w:tc>
          <w:tcPr>
            <w:tcW w:w="2720" w:type="dxa"/>
            <w:tcBorders>
              <w:top w:val="single" w:sz="4" w:space="0" w:color="auto"/>
              <w:left w:val="single" w:sz="4" w:space="0" w:color="auto"/>
              <w:bottom w:val="single" w:sz="4" w:space="0" w:color="auto"/>
              <w:right w:val="nil"/>
            </w:tcBorders>
            <w:vAlign w:val="center"/>
          </w:tcPr>
          <w:p w:rsidR="002204D1" w:rsidRPr="006C2C92" w:rsidRDefault="002204D1" w:rsidP="00604B8B">
            <w:pPr>
              <w:spacing w:before="40"/>
              <w:jc w:val="center"/>
              <w:rPr>
                <w:sz w:val="26"/>
                <w:szCs w:val="26"/>
                <w:lang w:val="uk-UA"/>
              </w:rPr>
            </w:pPr>
            <w:r w:rsidRPr="006C2C92">
              <w:rPr>
                <w:sz w:val="26"/>
                <w:szCs w:val="26"/>
                <w:lang w:val="uk-UA"/>
              </w:rPr>
              <w:t>Мінімальна сума</w:t>
            </w:r>
          </w:p>
          <w:p w:rsidR="002204D1" w:rsidRPr="006C2C92" w:rsidRDefault="002204D1" w:rsidP="00604B8B">
            <w:pPr>
              <w:spacing w:after="80"/>
              <w:jc w:val="center"/>
              <w:rPr>
                <w:sz w:val="26"/>
                <w:szCs w:val="26"/>
                <w:lang w:val="uk-UA"/>
              </w:rPr>
            </w:pPr>
            <w:r w:rsidRPr="006C2C92">
              <w:rPr>
                <w:sz w:val="22"/>
                <w:szCs w:val="22"/>
                <w:lang w:val="uk-UA"/>
              </w:rPr>
              <w:t>(для укладання договору)</w:t>
            </w:r>
          </w:p>
        </w:tc>
        <w:tc>
          <w:tcPr>
            <w:tcW w:w="1232" w:type="dxa"/>
            <w:tcBorders>
              <w:top w:val="single" w:sz="4" w:space="0" w:color="auto"/>
              <w:left w:val="single" w:sz="4" w:space="0" w:color="auto"/>
              <w:bottom w:val="single" w:sz="4" w:space="0" w:color="auto"/>
              <w:right w:val="single" w:sz="4" w:space="0" w:color="auto"/>
            </w:tcBorders>
            <w:vAlign w:val="center"/>
          </w:tcPr>
          <w:p w:rsidR="002204D1" w:rsidRPr="006C2C92" w:rsidRDefault="002204D1" w:rsidP="00604B8B">
            <w:pPr>
              <w:jc w:val="center"/>
              <w:rPr>
                <w:rFonts w:ascii="Arial" w:hAnsi="Arial" w:cs="Arial"/>
                <w:b/>
                <w:bCs/>
                <w:sz w:val="26"/>
                <w:szCs w:val="26"/>
                <w:lang w:val="uk-UA"/>
              </w:rPr>
            </w:pPr>
            <w:r w:rsidRPr="006C2C92">
              <w:rPr>
                <w:rFonts w:ascii="Arial" w:hAnsi="Arial" w:cs="Arial"/>
                <w:b/>
                <w:bCs/>
                <w:sz w:val="26"/>
                <w:szCs w:val="26"/>
                <w:lang w:val="uk-UA"/>
              </w:rPr>
              <w:t>5 000</w:t>
            </w:r>
          </w:p>
        </w:tc>
        <w:tc>
          <w:tcPr>
            <w:tcW w:w="1342" w:type="dxa"/>
            <w:tcBorders>
              <w:top w:val="single" w:sz="4" w:space="0" w:color="auto"/>
              <w:left w:val="nil"/>
              <w:bottom w:val="single" w:sz="4" w:space="0" w:color="auto"/>
              <w:right w:val="single" w:sz="4" w:space="0" w:color="auto"/>
            </w:tcBorders>
            <w:vAlign w:val="center"/>
          </w:tcPr>
          <w:p w:rsidR="002204D1" w:rsidRPr="006C2C92" w:rsidRDefault="002204D1" w:rsidP="00604B8B">
            <w:pPr>
              <w:jc w:val="center"/>
              <w:rPr>
                <w:rFonts w:ascii="Arial" w:hAnsi="Arial" w:cs="Arial"/>
                <w:b/>
                <w:bCs/>
                <w:sz w:val="26"/>
                <w:szCs w:val="26"/>
                <w:lang w:val="uk-UA"/>
              </w:rPr>
            </w:pPr>
            <w:r w:rsidRPr="006C2C92">
              <w:rPr>
                <w:rFonts w:ascii="Arial" w:hAnsi="Arial" w:cs="Arial"/>
                <w:b/>
                <w:bCs/>
                <w:sz w:val="26"/>
                <w:szCs w:val="26"/>
                <w:lang w:val="uk-UA"/>
              </w:rPr>
              <w:t>200</w:t>
            </w:r>
          </w:p>
        </w:tc>
        <w:tc>
          <w:tcPr>
            <w:tcW w:w="1232" w:type="dxa"/>
            <w:tcBorders>
              <w:top w:val="single" w:sz="4" w:space="0" w:color="auto"/>
              <w:left w:val="single" w:sz="4" w:space="0" w:color="auto"/>
              <w:bottom w:val="single" w:sz="4" w:space="0" w:color="auto"/>
              <w:right w:val="nil"/>
            </w:tcBorders>
            <w:vAlign w:val="center"/>
          </w:tcPr>
          <w:p w:rsidR="002204D1" w:rsidRPr="006C2C92" w:rsidRDefault="002204D1" w:rsidP="00604B8B">
            <w:pPr>
              <w:jc w:val="center"/>
              <w:rPr>
                <w:rFonts w:ascii="Arial" w:hAnsi="Arial" w:cs="Arial"/>
                <w:b/>
                <w:bCs/>
                <w:sz w:val="26"/>
                <w:szCs w:val="26"/>
                <w:lang w:val="uk-UA"/>
              </w:rPr>
            </w:pPr>
            <w:r w:rsidRPr="006C2C92">
              <w:rPr>
                <w:rFonts w:ascii="Arial" w:hAnsi="Arial" w:cs="Arial"/>
                <w:b/>
                <w:bCs/>
                <w:sz w:val="26"/>
                <w:szCs w:val="26"/>
                <w:lang w:val="uk-UA"/>
              </w:rPr>
              <w:t>200</w:t>
            </w:r>
          </w:p>
        </w:tc>
        <w:tc>
          <w:tcPr>
            <w:tcW w:w="1187" w:type="dxa"/>
            <w:tcBorders>
              <w:top w:val="single" w:sz="4" w:space="0" w:color="auto"/>
              <w:left w:val="single" w:sz="4" w:space="0" w:color="auto"/>
              <w:bottom w:val="single" w:sz="4" w:space="0" w:color="auto"/>
              <w:right w:val="single" w:sz="4" w:space="0" w:color="auto"/>
            </w:tcBorders>
            <w:vAlign w:val="center"/>
          </w:tcPr>
          <w:p w:rsidR="002204D1" w:rsidRPr="006C2C92" w:rsidRDefault="002204D1" w:rsidP="00604B8B">
            <w:pPr>
              <w:jc w:val="center"/>
              <w:rPr>
                <w:rFonts w:ascii="Arial" w:hAnsi="Arial" w:cs="Arial"/>
                <w:b/>
                <w:bCs/>
                <w:sz w:val="26"/>
                <w:szCs w:val="26"/>
                <w:lang w:val="uk-UA"/>
              </w:rPr>
            </w:pPr>
            <w:r w:rsidRPr="006C2C92">
              <w:rPr>
                <w:rFonts w:ascii="Arial" w:hAnsi="Arial" w:cs="Arial"/>
                <w:b/>
                <w:bCs/>
                <w:sz w:val="26"/>
                <w:szCs w:val="26"/>
                <w:lang w:val="uk-UA"/>
              </w:rPr>
              <w:t>5 000</w:t>
            </w:r>
          </w:p>
        </w:tc>
        <w:tc>
          <w:tcPr>
            <w:tcW w:w="1376" w:type="dxa"/>
            <w:tcBorders>
              <w:top w:val="single" w:sz="4" w:space="0" w:color="auto"/>
              <w:left w:val="single" w:sz="4" w:space="0" w:color="auto"/>
              <w:bottom w:val="single" w:sz="4" w:space="0" w:color="auto"/>
              <w:right w:val="single" w:sz="4" w:space="0" w:color="auto"/>
            </w:tcBorders>
            <w:vAlign w:val="center"/>
          </w:tcPr>
          <w:p w:rsidR="002204D1" w:rsidRPr="006C2C92" w:rsidRDefault="002204D1" w:rsidP="00604B8B">
            <w:pPr>
              <w:jc w:val="center"/>
              <w:rPr>
                <w:rFonts w:ascii="Arial" w:hAnsi="Arial" w:cs="Arial"/>
                <w:b/>
                <w:bCs/>
                <w:sz w:val="26"/>
                <w:szCs w:val="26"/>
                <w:lang w:val="uk-UA"/>
              </w:rPr>
            </w:pPr>
            <w:r w:rsidRPr="006C2C92">
              <w:rPr>
                <w:rFonts w:ascii="Arial" w:hAnsi="Arial" w:cs="Arial"/>
                <w:b/>
                <w:bCs/>
                <w:sz w:val="26"/>
                <w:szCs w:val="26"/>
                <w:lang w:val="uk-UA"/>
              </w:rPr>
              <w:t>200</w:t>
            </w:r>
          </w:p>
        </w:tc>
        <w:tc>
          <w:tcPr>
            <w:tcW w:w="1263" w:type="dxa"/>
            <w:tcBorders>
              <w:top w:val="single" w:sz="4" w:space="0" w:color="auto"/>
              <w:left w:val="single" w:sz="4" w:space="0" w:color="auto"/>
              <w:bottom w:val="single" w:sz="4" w:space="0" w:color="auto"/>
              <w:right w:val="single" w:sz="4" w:space="0" w:color="auto"/>
            </w:tcBorders>
            <w:vAlign w:val="center"/>
          </w:tcPr>
          <w:p w:rsidR="002204D1" w:rsidRPr="006C2C92" w:rsidRDefault="002204D1" w:rsidP="00604B8B">
            <w:pPr>
              <w:jc w:val="center"/>
              <w:rPr>
                <w:rFonts w:ascii="Arial" w:hAnsi="Arial" w:cs="Arial"/>
                <w:b/>
                <w:bCs/>
                <w:sz w:val="26"/>
                <w:szCs w:val="26"/>
                <w:lang w:val="uk-UA"/>
              </w:rPr>
            </w:pPr>
            <w:r w:rsidRPr="006C2C92">
              <w:rPr>
                <w:rFonts w:ascii="Arial" w:hAnsi="Arial" w:cs="Arial"/>
                <w:b/>
                <w:bCs/>
                <w:sz w:val="26"/>
                <w:szCs w:val="26"/>
                <w:lang w:val="uk-UA"/>
              </w:rPr>
              <w:t>200</w:t>
            </w:r>
          </w:p>
        </w:tc>
      </w:tr>
    </w:tbl>
    <w:p w:rsidR="003C33DD" w:rsidRPr="006C2C92" w:rsidRDefault="00F82B7A" w:rsidP="003C33DD">
      <w:pPr>
        <w:pStyle w:val="21"/>
        <w:spacing w:before="200"/>
        <w:rPr>
          <w:b/>
          <w:bCs/>
        </w:rPr>
      </w:pPr>
      <w:r w:rsidRPr="006C2C92">
        <w:rPr>
          <w:b/>
          <w:bCs/>
          <w:color w:val="3366FF"/>
        </w:rPr>
        <w:t>2</w:t>
      </w:r>
      <w:r w:rsidR="003C33DD" w:rsidRPr="006C2C92">
        <w:rPr>
          <w:b/>
          <w:bCs/>
          <w:color w:val="3366FF"/>
        </w:rPr>
        <w:t>) </w:t>
      </w:r>
      <w:r w:rsidR="003C33DD" w:rsidRPr="006C2C92">
        <w:rPr>
          <w:b/>
          <w:bCs/>
          <w:color w:val="3366FF"/>
          <w:sz w:val="32"/>
          <w:szCs w:val="32"/>
          <w:u w:val="single"/>
        </w:rPr>
        <w:t>Вклад «Воїнам України» (вільні кошти):</w:t>
      </w:r>
      <w:r w:rsidR="003C33DD" w:rsidRPr="006C2C92">
        <w:rPr>
          <w:b/>
          <w:bCs/>
        </w:rPr>
        <w:t xml:space="preserve"> передбачено поповнення</w:t>
      </w:r>
      <w:r w:rsidR="006803BB" w:rsidRPr="006C2C92">
        <w:rPr>
          <w:b/>
          <w:bCs/>
        </w:rPr>
        <w:t xml:space="preserve"> та часткове зняття </w:t>
      </w:r>
      <w:r w:rsidR="003C33DD" w:rsidRPr="006C2C92">
        <w:rPr>
          <w:b/>
          <w:bCs/>
        </w:rPr>
        <w:t>вкладу; автопролонгація вкладу.</w:t>
      </w:r>
    </w:p>
    <w:p w:rsidR="003C33DD" w:rsidRPr="006C2C92" w:rsidRDefault="003C33DD" w:rsidP="003C33DD">
      <w:pPr>
        <w:pStyle w:val="a3"/>
        <w:spacing w:before="40" w:after="120"/>
        <w:rPr>
          <w:b/>
          <w:bCs/>
          <w:sz w:val="28"/>
          <w:szCs w:val="28"/>
        </w:rPr>
      </w:pPr>
      <w:r w:rsidRPr="006C2C92">
        <w:rPr>
          <w:b/>
          <w:bCs/>
          <w:i/>
          <w:iCs/>
          <w:sz w:val="28"/>
          <w:szCs w:val="28"/>
        </w:rPr>
        <w:t xml:space="preserve">Порядок виплати процентів (обирається вкладником): </w:t>
      </w:r>
      <w:r w:rsidR="00743287">
        <w:rPr>
          <w:b/>
          <w:bCs/>
          <w:sz w:val="28"/>
          <w:szCs w:val="28"/>
        </w:rPr>
        <w:t>проценти щомісячно приєднуються до суми вкладу або зараховуються на поточний рахунок.</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935"/>
        <w:gridCol w:w="2414"/>
        <w:gridCol w:w="2163"/>
      </w:tblGrid>
      <w:tr w:rsidR="003C33DD" w:rsidRPr="006C2C92" w:rsidTr="00C73406">
        <w:tblPrEx>
          <w:tblCellMar>
            <w:top w:w="0" w:type="dxa"/>
            <w:bottom w:w="0" w:type="dxa"/>
          </w:tblCellMar>
        </w:tblPrEx>
        <w:trPr>
          <w:cantSplit/>
        </w:trPr>
        <w:tc>
          <w:tcPr>
            <w:tcW w:w="2802" w:type="dxa"/>
            <w:vMerge w:val="restart"/>
            <w:vAlign w:val="center"/>
          </w:tcPr>
          <w:p w:rsidR="003C33DD" w:rsidRPr="006C2C92" w:rsidRDefault="003C33DD" w:rsidP="00604B8B">
            <w:pPr>
              <w:pStyle w:val="1"/>
              <w:rPr>
                <w:sz w:val="26"/>
                <w:szCs w:val="26"/>
              </w:rPr>
            </w:pPr>
            <w:r w:rsidRPr="006C2C92">
              <w:rPr>
                <w:sz w:val="26"/>
                <w:szCs w:val="26"/>
              </w:rPr>
              <w:t>Строк вкладу</w:t>
            </w:r>
          </w:p>
        </w:tc>
        <w:tc>
          <w:tcPr>
            <w:tcW w:w="7512" w:type="dxa"/>
            <w:gridSpan w:val="3"/>
          </w:tcPr>
          <w:p w:rsidR="003C33DD" w:rsidRPr="006C2C92" w:rsidRDefault="003C33DD" w:rsidP="00604B8B">
            <w:pPr>
              <w:pStyle w:val="1"/>
              <w:spacing w:before="80" w:after="80"/>
              <w:rPr>
                <w:b/>
                <w:bCs/>
                <w:sz w:val="26"/>
                <w:szCs w:val="26"/>
              </w:rPr>
            </w:pPr>
            <w:r w:rsidRPr="006C2C92">
              <w:rPr>
                <w:b/>
                <w:bCs/>
                <w:sz w:val="26"/>
                <w:szCs w:val="26"/>
              </w:rPr>
              <w:t>Процентна ставка, % річних</w:t>
            </w:r>
          </w:p>
        </w:tc>
      </w:tr>
      <w:tr w:rsidR="003C33DD" w:rsidRPr="006C2C92" w:rsidTr="00C73406">
        <w:tblPrEx>
          <w:tblCellMar>
            <w:top w:w="0" w:type="dxa"/>
            <w:bottom w:w="0" w:type="dxa"/>
          </w:tblCellMar>
        </w:tblPrEx>
        <w:trPr>
          <w:cantSplit/>
          <w:trHeight w:val="359"/>
        </w:trPr>
        <w:tc>
          <w:tcPr>
            <w:tcW w:w="2802" w:type="dxa"/>
            <w:vMerge/>
          </w:tcPr>
          <w:p w:rsidR="003C33DD" w:rsidRPr="006C2C92" w:rsidRDefault="003C33DD" w:rsidP="00604B8B">
            <w:pPr>
              <w:jc w:val="center"/>
              <w:rPr>
                <w:sz w:val="26"/>
                <w:szCs w:val="26"/>
                <w:lang w:val="uk-UA"/>
              </w:rPr>
            </w:pPr>
          </w:p>
        </w:tc>
        <w:tc>
          <w:tcPr>
            <w:tcW w:w="2935" w:type="dxa"/>
            <w:vAlign w:val="center"/>
          </w:tcPr>
          <w:p w:rsidR="003C33DD" w:rsidRPr="006C2C92" w:rsidRDefault="003C33DD" w:rsidP="00604B8B">
            <w:pPr>
              <w:spacing w:before="60" w:after="60"/>
              <w:jc w:val="center"/>
              <w:rPr>
                <w:b/>
                <w:bCs/>
                <w:sz w:val="26"/>
                <w:szCs w:val="26"/>
                <w:lang w:val="uk-UA"/>
              </w:rPr>
            </w:pPr>
            <w:r w:rsidRPr="006C2C92">
              <w:rPr>
                <w:b/>
                <w:bCs/>
                <w:sz w:val="26"/>
                <w:szCs w:val="26"/>
                <w:lang w:val="uk-UA"/>
              </w:rPr>
              <w:t>в гривні</w:t>
            </w:r>
          </w:p>
        </w:tc>
        <w:tc>
          <w:tcPr>
            <w:tcW w:w="2414" w:type="dxa"/>
            <w:vAlign w:val="center"/>
          </w:tcPr>
          <w:p w:rsidR="003C33DD" w:rsidRPr="006C2C92" w:rsidRDefault="003C33DD" w:rsidP="00604B8B">
            <w:pPr>
              <w:spacing w:before="60" w:after="60"/>
              <w:jc w:val="center"/>
              <w:rPr>
                <w:b/>
                <w:bCs/>
                <w:sz w:val="26"/>
                <w:szCs w:val="26"/>
                <w:lang w:val="uk-UA"/>
              </w:rPr>
            </w:pPr>
            <w:r w:rsidRPr="006C2C92">
              <w:rPr>
                <w:b/>
                <w:bCs/>
                <w:sz w:val="26"/>
                <w:szCs w:val="26"/>
                <w:lang w:val="uk-UA"/>
              </w:rPr>
              <w:t>в доларах США</w:t>
            </w:r>
          </w:p>
        </w:tc>
        <w:tc>
          <w:tcPr>
            <w:tcW w:w="2163" w:type="dxa"/>
            <w:vAlign w:val="center"/>
          </w:tcPr>
          <w:p w:rsidR="003C33DD" w:rsidRPr="006C2C92" w:rsidRDefault="003C33DD" w:rsidP="00604B8B">
            <w:pPr>
              <w:spacing w:before="60" w:after="60"/>
              <w:jc w:val="center"/>
              <w:rPr>
                <w:b/>
                <w:bCs/>
                <w:sz w:val="26"/>
                <w:szCs w:val="26"/>
                <w:lang w:val="uk-UA"/>
              </w:rPr>
            </w:pPr>
            <w:r w:rsidRPr="006C2C92">
              <w:rPr>
                <w:b/>
                <w:bCs/>
                <w:sz w:val="26"/>
                <w:szCs w:val="26"/>
                <w:lang w:val="uk-UA"/>
              </w:rPr>
              <w:t>в євро</w:t>
            </w:r>
          </w:p>
        </w:tc>
      </w:tr>
      <w:tr w:rsidR="003C33DD" w:rsidRPr="006C2C92" w:rsidTr="00C73406">
        <w:tblPrEx>
          <w:tblCellMar>
            <w:top w:w="0" w:type="dxa"/>
            <w:bottom w:w="0" w:type="dxa"/>
          </w:tblCellMar>
        </w:tblPrEx>
        <w:trPr>
          <w:trHeight w:val="510"/>
        </w:trPr>
        <w:tc>
          <w:tcPr>
            <w:tcW w:w="2802" w:type="dxa"/>
            <w:vAlign w:val="center"/>
          </w:tcPr>
          <w:p w:rsidR="003C33DD" w:rsidRPr="00A07E02" w:rsidRDefault="003C33DD" w:rsidP="00604B8B">
            <w:pPr>
              <w:spacing w:before="120" w:after="120"/>
              <w:jc w:val="center"/>
              <w:rPr>
                <w:bCs/>
                <w:sz w:val="26"/>
                <w:szCs w:val="26"/>
                <w:lang w:val="uk-UA"/>
              </w:rPr>
            </w:pPr>
            <w:r w:rsidRPr="00A07E02">
              <w:rPr>
                <w:bCs/>
                <w:sz w:val="26"/>
                <w:szCs w:val="26"/>
                <w:lang w:val="uk-UA"/>
              </w:rPr>
              <w:t>12 місяців</w:t>
            </w:r>
          </w:p>
        </w:tc>
        <w:tc>
          <w:tcPr>
            <w:tcW w:w="2935" w:type="dxa"/>
            <w:vAlign w:val="center"/>
          </w:tcPr>
          <w:p w:rsidR="003C33DD" w:rsidRPr="006C2C92" w:rsidRDefault="003C33DD" w:rsidP="005D0F6C">
            <w:pPr>
              <w:spacing w:before="120" w:after="120"/>
              <w:jc w:val="center"/>
              <w:rPr>
                <w:rFonts w:ascii="Arial" w:hAnsi="Arial" w:cs="Arial"/>
                <w:b/>
                <w:bCs/>
                <w:sz w:val="26"/>
                <w:szCs w:val="26"/>
                <w:lang w:val="uk-UA"/>
              </w:rPr>
            </w:pPr>
            <w:r w:rsidRPr="006C2C92">
              <w:rPr>
                <w:rFonts w:ascii="Arial" w:hAnsi="Arial" w:cs="Arial"/>
                <w:b/>
                <w:bCs/>
                <w:sz w:val="26"/>
                <w:szCs w:val="26"/>
                <w:lang w:val="uk-UA"/>
              </w:rPr>
              <w:t>1</w:t>
            </w:r>
            <w:r w:rsidR="005D0F6C">
              <w:rPr>
                <w:rFonts w:ascii="Arial" w:hAnsi="Arial" w:cs="Arial"/>
                <w:b/>
                <w:bCs/>
                <w:sz w:val="26"/>
                <w:szCs w:val="26"/>
                <w:lang w:val="uk-UA"/>
              </w:rPr>
              <w:t>0</w:t>
            </w:r>
            <w:r w:rsidRPr="006C2C92">
              <w:rPr>
                <w:rFonts w:ascii="Arial" w:hAnsi="Arial" w:cs="Arial"/>
                <w:b/>
                <w:bCs/>
                <w:sz w:val="26"/>
                <w:szCs w:val="26"/>
                <w:lang w:val="uk-UA"/>
              </w:rPr>
              <w:t>,0</w:t>
            </w:r>
          </w:p>
        </w:tc>
        <w:tc>
          <w:tcPr>
            <w:tcW w:w="2414" w:type="dxa"/>
            <w:vAlign w:val="center"/>
          </w:tcPr>
          <w:p w:rsidR="003C33DD" w:rsidRPr="006C2C92" w:rsidRDefault="003C33DD" w:rsidP="00604B8B">
            <w:pPr>
              <w:spacing w:before="120" w:after="120"/>
              <w:jc w:val="center"/>
              <w:rPr>
                <w:rFonts w:ascii="Arial" w:hAnsi="Arial" w:cs="Arial"/>
                <w:b/>
                <w:bCs/>
                <w:sz w:val="26"/>
                <w:szCs w:val="26"/>
                <w:lang w:val="uk-UA"/>
              </w:rPr>
            </w:pPr>
            <w:r w:rsidRPr="006C2C92">
              <w:rPr>
                <w:rFonts w:ascii="Arial" w:hAnsi="Arial" w:cs="Arial"/>
                <w:b/>
                <w:bCs/>
                <w:sz w:val="26"/>
                <w:szCs w:val="26"/>
                <w:lang w:val="uk-UA"/>
              </w:rPr>
              <w:t>-</w:t>
            </w:r>
          </w:p>
        </w:tc>
        <w:tc>
          <w:tcPr>
            <w:tcW w:w="2163" w:type="dxa"/>
            <w:vAlign w:val="center"/>
          </w:tcPr>
          <w:p w:rsidR="003C33DD" w:rsidRPr="006C2C92" w:rsidRDefault="003C33DD" w:rsidP="00604B8B">
            <w:pPr>
              <w:spacing w:before="120" w:after="120"/>
              <w:jc w:val="center"/>
              <w:rPr>
                <w:rFonts w:ascii="Arial" w:hAnsi="Arial" w:cs="Arial"/>
                <w:b/>
                <w:bCs/>
                <w:sz w:val="26"/>
                <w:szCs w:val="26"/>
                <w:lang w:val="uk-UA"/>
              </w:rPr>
            </w:pPr>
            <w:r w:rsidRPr="006C2C92">
              <w:rPr>
                <w:rFonts w:ascii="Arial" w:hAnsi="Arial" w:cs="Arial"/>
                <w:b/>
                <w:bCs/>
                <w:sz w:val="26"/>
                <w:szCs w:val="26"/>
                <w:lang w:val="uk-UA"/>
              </w:rPr>
              <w:t>-</w:t>
            </w:r>
          </w:p>
        </w:tc>
      </w:tr>
      <w:tr w:rsidR="003C33DD" w:rsidRPr="006C2C92" w:rsidTr="00C73406">
        <w:tblPrEx>
          <w:tblCellMar>
            <w:top w:w="0" w:type="dxa"/>
            <w:bottom w:w="0" w:type="dxa"/>
          </w:tblCellMar>
        </w:tblPrEx>
        <w:trPr>
          <w:trHeight w:val="70"/>
        </w:trPr>
        <w:tc>
          <w:tcPr>
            <w:tcW w:w="2802" w:type="dxa"/>
            <w:tcBorders>
              <w:right w:val="nil"/>
            </w:tcBorders>
            <w:shd w:val="clear" w:color="auto" w:fill="C0C0C0"/>
            <w:vAlign w:val="center"/>
          </w:tcPr>
          <w:p w:rsidR="003C33DD" w:rsidRPr="006C2C92" w:rsidRDefault="003C33DD" w:rsidP="00604B8B">
            <w:pPr>
              <w:pStyle w:val="21"/>
              <w:rPr>
                <w:b/>
                <w:bCs/>
                <w:sz w:val="10"/>
                <w:szCs w:val="10"/>
              </w:rPr>
            </w:pPr>
          </w:p>
        </w:tc>
        <w:tc>
          <w:tcPr>
            <w:tcW w:w="2935" w:type="dxa"/>
            <w:tcBorders>
              <w:left w:val="nil"/>
              <w:right w:val="nil"/>
            </w:tcBorders>
            <w:shd w:val="clear" w:color="auto" w:fill="C0C0C0"/>
            <w:vAlign w:val="center"/>
          </w:tcPr>
          <w:p w:rsidR="003C33DD" w:rsidRPr="006C2C92" w:rsidRDefault="003C33DD" w:rsidP="00604B8B">
            <w:pPr>
              <w:jc w:val="center"/>
              <w:rPr>
                <w:rFonts w:ascii="Arial" w:hAnsi="Arial" w:cs="Arial"/>
                <w:b/>
                <w:bCs/>
                <w:sz w:val="10"/>
                <w:szCs w:val="10"/>
                <w:lang w:val="uk-UA"/>
              </w:rPr>
            </w:pPr>
          </w:p>
        </w:tc>
        <w:tc>
          <w:tcPr>
            <w:tcW w:w="2414" w:type="dxa"/>
            <w:tcBorders>
              <w:left w:val="nil"/>
              <w:right w:val="nil"/>
            </w:tcBorders>
            <w:shd w:val="clear" w:color="auto" w:fill="C0C0C0"/>
            <w:vAlign w:val="center"/>
          </w:tcPr>
          <w:p w:rsidR="003C33DD" w:rsidRPr="006C2C92" w:rsidRDefault="003C33DD" w:rsidP="00604B8B">
            <w:pPr>
              <w:jc w:val="center"/>
              <w:rPr>
                <w:rFonts w:ascii="Arial" w:hAnsi="Arial" w:cs="Arial"/>
                <w:b/>
                <w:bCs/>
                <w:sz w:val="10"/>
                <w:szCs w:val="10"/>
                <w:lang w:val="uk-UA"/>
              </w:rPr>
            </w:pPr>
          </w:p>
        </w:tc>
        <w:tc>
          <w:tcPr>
            <w:tcW w:w="2163" w:type="dxa"/>
            <w:tcBorders>
              <w:left w:val="nil"/>
            </w:tcBorders>
            <w:shd w:val="clear" w:color="auto" w:fill="C0C0C0"/>
            <w:vAlign w:val="center"/>
          </w:tcPr>
          <w:p w:rsidR="003C33DD" w:rsidRPr="006C2C92" w:rsidRDefault="003C33DD" w:rsidP="00604B8B">
            <w:pPr>
              <w:jc w:val="center"/>
              <w:rPr>
                <w:rFonts w:ascii="Arial" w:hAnsi="Arial" w:cs="Arial"/>
                <w:b/>
                <w:bCs/>
                <w:sz w:val="10"/>
                <w:szCs w:val="10"/>
                <w:lang w:val="uk-UA"/>
              </w:rPr>
            </w:pPr>
          </w:p>
        </w:tc>
      </w:tr>
      <w:tr w:rsidR="003C33DD" w:rsidRPr="006C2C92" w:rsidTr="00C73406">
        <w:tblPrEx>
          <w:tblCellMar>
            <w:top w:w="0" w:type="dxa"/>
            <w:bottom w:w="0" w:type="dxa"/>
          </w:tblCellMar>
        </w:tblPrEx>
        <w:trPr>
          <w:trHeight w:val="510"/>
        </w:trPr>
        <w:tc>
          <w:tcPr>
            <w:tcW w:w="2802" w:type="dxa"/>
            <w:vAlign w:val="center"/>
          </w:tcPr>
          <w:p w:rsidR="003C33DD" w:rsidRPr="006C2C92" w:rsidRDefault="003C33DD" w:rsidP="00604B8B">
            <w:pPr>
              <w:spacing w:before="40"/>
              <w:jc w:val="center"/>
              <w:rPr>
                <w:sz w:val="26"/>
                <w:szCs w:val="26"/>
                <w:lang w:val="uk-UA"/>
              </w:rPr>
            </w:pPr>
            <w:r w:rsidRPr="006C2C92">
              <w:rPr>
                <w:sz w:val="26"/>
                <w:szCs w:val="26"/>
                <w:lang w:val="uk-UA"/>
              </w:rPr>
              <w:t>Мінімальна сума</w:t>
            </w:r>
          </w:p>
          <w:p w:rsidR="003C33DD" w:rsidRPr="006C2C92" w:rsidRDefault="003C33DD" w:rsidP="00604B8B">
            <w:pPr>
              <w:spacing w:after="80"/>
              <w:jc w:val="center"/>
              <w:rPr>
                <w:sz w:val="26"/>
                <w:szCs w:val="26"/>
                <w:lang w:val="uk-UA"/>
              </w:rPr>
            </w:pPr>
            <w:r w:rsidRPr="006C2C92">
              <w:rPr>
                <w:sz w:val="22"/>
                <w:szCs w:val="22"/>
                <w:lang w:val="uk-UA"/>
              </w:rPr>
              <w:t>(для укладання договору)</w:t>
            </w:r>
          </w:p>
        </w:tc>
        <w:tc>
          <w:tcPr>
            <w:tcW w:w="2935" w:type="dxa"/>
            <w:vAlign w:val="center"/>
          </w:tcPr>
          <w:p w:rsidR="003C33DD" w:rsidRPr="006C2C92" w:rsidRDefault="003C33DD" w:rsidP="00604B8B">
            <w:pPr>
              <w:jc w:val="center"/>
              <w:rPr>
                <w:rFonts w:ascii="Arial" w:hAnsi="Arial" w:cs="Arial"/>
                <w:b/>
                <w:bCs/>
                <w:sz w:val="26"/>
                <w:szCs w:val="26"/>
                <w:lang w:val="uk-UA"/>
              </w:rPr>
            </w:pPr>
            <w:r w:rsidRPr="006C2C92">
              <w:rPr>
                <w:rFonts w:ascii="Arial" w:hAnsi="Arial" w:cs="Arial"/>
                <w:b/>
                <w:bCs/>
                <w:sz w:val="26"/>
                <w:szCs w:val="26"/>
                <w:lang w:val="uk-UA"/>
              </w:rPr>
              <w:t>1 000</w:t>
            </w:r>
          </w:p>
        </w:tc>
        <w:tc>
          <w:tcPr>
            <w:tcW w:w="2414" w:type="dxa"/>
            <w:vAlign w:val="center"/>
          </w:tcPr>
          <w:p w:rsidR="003C33DD" w:rsidRPr="006C2C92" w:rsidRDefault="003C33DD" w:rsidP="00604B8B">
            <w:pPr>
              <w:jc w:val="center"/>
              <w:rPr>
                <w:rFonts w:ascii="Arial" w:hAnsi="Arial" w:cs="Arial"/>
                <w:b/>
                <w:bCs/>
                <w:sz w:val="26"/>
                <w:szCs w:val="26"/>
                <w:lang w:val="uk-UA"/>
              </w:rPr>
            </w:pPr>
            <w:r w:rsidRPr="006C2C92">
              <w:rPr>
                <w:rFonts w:ascii="Arial" w:hAnsi="Arial" w:cs="Arial"/>
                <w:b/>
                <w:bCs/>
                <w:sz w:val="26"/>
                <w:szCs w:val="26"/>
                <w:lang w:val="uk-UA"/>
              </w:rPr>
              <w:t>-</w:t>
            </w:r>
          </w:p>
        </w:tc>
        <w:tc>
          <w:tcPr>
            <w:tcW w:w="2163" w:type="dxa"/>
            <w:vAlign w:val="center"/>
          </w:tcPr>
          <w:p w:rsidR="003C33DD" w:rsidRPr="006C2C92" w:rsidRDefault="003C33DD" w:rsidP="00604B8B">
            <w:pPr>
              <w:jc w:val="center"/>
              <w:rPr>
                <w:rFonts w:ascii="Arial" w:hAnsi="Arial" w:cs="Arial"/>
                <w:b/>
                <w:bCs/>
                <w:sz w:val="26"/>
                <w:szCs w:val="26"/>
                <w:lang w:val="uk-UA"/>
              </w:rPr>
            </w:pPr>
            <w:r w:rsidRPr="006C2C92">
              <w:rPr>
                <w:rFonts w:ascii="Arial" w:hAnsi="Arial" w:cs="Arial"/>
                <w:b/>
                <w:bCs/>
                <w:sz w:val="26"/>
                <w:szCs w:val="26"/>
                <w:lang w:val="uk-UA"/>
              </w:rPr>
              <w:t>-</w:t>
            </w:r>
          </w:p>
        </w:tc>
      </w:tr>
    </w:tbl>
    <w:p w:rsidR="006C2C92" w:rsidRPr="006C2C92" w:rsidRDefault="006C2C92" w:rsidP="00852986">
      <w:pPr>
        <w:jc w:val="center"/>
        <w:rPr>
          <w:b/>
          <w:bCs/>
          <w:i/>
          <w:sz w:val="28"/>
          <w:szCs w:val="28"/>
          <w:lang w:val="uk-UA"/>
        </w:rPr>
      </w:pPr>
      <w:bookmarkStart w:id="0" w:name="_GoBack"/>
    </w:p>
    <w:bookmarkEnd w:id="0"/>
    <w:p w:rsidR="006C2C92" w:rsidRPr="006C2C92" w:rsidRDefault="006C2C92" w:rsidP="006C2C92">
      <w:pPr>
        <w:tabs>
          <w:tab w:val="left" w:pos="851"/>
          <w:tab w:val="left" w:pos="1134"/>
        </w:tabs>
        <w:ind w:firstLine="709"/>
        <w:jc w:val="both"/>
        <w:rPr>
          <w:sz w:val="27"/>
          <w:szCs w:val="27"/>
          <w:lang w:val="uk-UA"/>
        </w:rPr>
      </w:pPr>
      <w:r w:rsidRPr="006C2C92">
        <w:rPr>
          <w:b/>
          <w:sz w:val="27"/>
          <w:szCs w:val="27"/>
          <w:lang w:val="uk-UA"/>
        </w:rPr>
        <w:t xml:space="preserve">Банківський вклад </w:t>
      </w:r>
      <w:r w:rsidRPr="006C2C92">
        <w:rPr>
          <w:b/>
          <w:iCs/>
          <w:sz w:val="28"/>
          <w:szCs w:val="28"/>
          <w:lang w:val="uk-UA"/>
        </w:rPr>
        <w:t>«Воїнам України»</w:t>
      </w:r>
      <w:r w:rsidRPr="006C2C92">
        <w:rPr>
          <w:iCs/>
          <w:sz w:val="28"/>
          <w:szCs w:val="28"/>
          <w:lang w:val="uk-UA"/>
        </w:rPr>
        <w:t xml:space="preserve"> </w:t>
      </w:r>
      <w:r w:rsidRPr="006C2C92">
        <w:rPr>
          <w:sz w:val="27"/>
          <w:szCs w:val="27"/>
          <w:lang w:val="uk-UA"/>
        </w:rPr>
        <w:t xml:space="preserve">фізичних осіб з фіксованою процентною ставкою в </w:t>
      </w:r>
      <w:r w:rsidRPr="006C2C92">
        <w:rPr>
          <w:bCs/>
          <w:sz w:val="27"/>
          <w:szCs w:val="27"/>
          <w:lang w:val="uk-UA"/>
        </w:rPr>
        <w:t>національній</w:t>
      </w:r>
      <w:r w:rsidRPr="006C2C92">
        <w:rPr>
          <w:sz w:val="27"/>
          <w:szCs w:val="27"/>
          <w:lang w:val="uk-UA"/>
        </w:rPr>
        <w:t xml:space="preserve"> та </w:t>
      </w:r>
      <w:r w:rsidRPr="006C2C92">
        <w:rPr>
          <w:bCs/>
          <w:sz w:val="27"/>
          <w:szCs w:val="27"/>
          <w:lang w:val="uk-UA"/>
        </w:rPr>
        <w:t>іноземній</w:t>
      </w:r>
      <w:r w:rsidRPr="006C2C92">
        <w:rPr>
          <w:sz w:val="27"/>
          <w:szCs w:val="27"/>
          <w:lang w:val="uk-UA"/>
        </w:rPr>
        <w:t xml:space="preserve"> валютах, надалі – вклад,  приймається банком в готівковій та безготівковій формах.</w:t>
      </w:r>
    </w:p>
    <w:p w:rsidR="006C2C92" w:rsidRPr="006C2C92" w:rsidRDefault="006C2C92" w:rsidP="006C2C92">
      <w:pPr>
        <w:tabs>
          <w:tab w:val="left" w:pos="0"/>
          <w:tab w:val="left" w:pos="1134"/>
        </w:tabs>
        <w:ind w:left="710"/>
        <w:jc w:val="both"/>
        <w:rPr>
          <w:sz w:val="28"/>
          <w:szCs w:val="28"/>
          <w:lang w:val="uk-UA"/>
        </w:rPr>
      </w:pPr>
      <w:r>
        <w:rPr>
          <w:rStyle w:val="ae"/>
          <w:b w:val="0"/>
          <w:bCs/>
          <w:sz w:val="28"/>
          <w:szCs w:val="28"/>
          <w:shd w:val="clear" w:color="auto" w:fill="FFFFFF"/>
          <w:lang w:val="uk-UA"/>
        </w:rPr>
        <w:t>1. </w:t>
      </w:r>
      <w:r w:rsidRPr="006C2C92">
        <w:rPr>
          <w:rStyle w:val="ae"/>
          <w:bCs/>
          <w:sz w:val="28"/>
          <w:szCs w:val="28"/>
          <w:shd w:val="clear" w:color="auto" w:fill="FFFFFF"/>
          <w:lang w:val="uk-UA"/>
        </w:rPr>
        <w:t xml:space="preserve">Вклад </w:t>
      </w:r>
      <w:r w:rsidRPr="006C2C92">
        <w:rPr>
          <w:sz w:val="28"/>
          <w:szCs w:val="28"/>
          <w:shd w:val="clear" w:color="auto" w:fill="FFFFFF"/>
          <w:lang w:val="uk-UA"/>
        </w:rPr>
        <w:t>відкривається вкладникам – громадянам України:</w:t>
      </w:r>
    </w:p>
    <w:p w:rsidR="006C2C92" w:rsidRPr="006C2C92" w:rsidRDefault="006C2C92" w:rsidP="006C2C92">
      <w:pPr>
        <w:tabs>
          <w:tab w:val="left" w:pos="0"/>
          <w:tab w:val="left" w:pos="1134"/>
        </w:tabs>
        <w:jc w:val="both"/>
        <w:rPr>
          <w:sz w:val="28"/>
          <w:szCs w:val="28"/>
          <w:shd w:val="clear" w:color="auto" w:fill="FFFFFF"/>
          <w:lang w:val="uk-UA"/>
        </w:rPr>
      </w:pPr>
      <w:r w:rsidRPr="006C2C92">
        <w:rPr>
          <w:sz w:val="28"/>
          <w:szCs w:val="28"/>
          <w:shd w:val="clear" w:color="auto" w:fill="FFFFFF"/>
          <w:lang w:val="uk-UA"/>
        </w:rPr>
        <w:t>-  які проходять військову службу,</w:t>
      </w:r>
      <w:r w:rsidRPr="006C2C92">
        <w:rPr>
          <w:sz w:val="28"/>
          <w:szCs w:val="28"/>
          <w:lang w:val="uk-UA"/>
        </w:rPr>
        <w:t xml:space="preserve"> добровольцям Сил територіальної оборони ЗСУ або добровольцям добровольчих формувань територіальних громад</w:t>
      </w:r>
      <w:r w:rsidR="00B4052D">
        <w:rPr>
          <w:sz w:val="28"/>
          <w:szCs w:val="28"/>
          <w:lang w:val="uk-UA"/>
        </w:rPr>
        <w:t xml:space="preserve">, працівникам ДСНС України  </w:t>
      </w:r>
      <w:r w:rsidRPr="006C2C92">
        <w:rPr>
          <w:sz w:val="28"/>
          <w:szCs w:val="28"/>
          <w:shd w:val="clear" w:color="auto" w:fill="FFFFFF"/>
          <w:lang w:val="uk-UA"/>
        </w:rPr>
        <w:t xml:space="preserve"> (далі – військовослужбовці );</w:t>
      </w:r>
    </w:p>
    <w:p w:rsidR="006C2C92" w:rsidRPr="006C2C92" w:rsidRDefault="006C2C92" w:rsidP="006C2C92">
      <w:pPr>
        <w:tabs>
          <w:tab w:val="left" w:pos="0"/>
          <w:tab w:val="left" w:pos="1134"/>
        </w:tabs>
        <w:jc w:val="both"/>
        <w:rPr>
          <w:sz w:val="28"/>
          <w:szCs w:val="28"/>
          <w:shd w:val="clear" w:color="auto" w:fill="FFFFFF"/>
          <w:lang w:val="uk-UA"/>
        </w:rPr>
      </w:pPr>
      <w:r w:rsidRPr="006C2C92">
        <w:rPr>
          <w:sz w:val="28"/>
          <w:szCs w:val="28"/>
          <w:shd w:val="clear" w:color="auto" w:fill="FFFFFF"/>
          <w:lang w:val="uk-UA"/>
        </w:rPr>
        <w:t>- членам родин військовослужбовців (другий з подружжя, діти, батьки);</w:t>
      </w:r>
    </w:p>
    <w:p w:rsidR="006C2C92" w:rsidRPr="006C2C92" w:rsidRDefault="006C2C92" w:rsidP="006C2C92">
      <w:pPr>
        <w:tabs>
          <w:tab w:val="left" w:pos="0"/>
          <w:tab w:val="left" w:pos="1134"/>
        </w:tabs>
        <w:jc w:val="both"/>
        <w:rPr>
          <w:sz w:val="28"/>
          <w:szCs w:val="28"/>
          <w:shd w:val="clear" w:color="auto" w:fill="FFFFFF"/>
          <w:lang w:val="uk-UA"/>
        </w:rPr>
      </w:pPr>
      <w:r w:rsidRPr="006C2C92">
        <w:rPr>
          <w:sz w:val="28"/>
          <w:szCs w:val="28"/>
          <w:shd w:val="clear" w:color="auto" w:fill="FFFFFF"/>
          <w:lang w:val="uk-UA"/>
        </w:rPr>
        <w:t xml:space="preserve">- членам родин загиблих протягом строку дії воєнного стану військовослужбовців або добровольців територіальної оборони. </w:t>
      </w:r>
    </w:p>
    <w:p w:rsidR="006C2C92" w:rsidRPr="006C2C92" w:rsidRDefault="006C2C92" w:rsidP="006C2C92">
      <w:pPr>
        <w:tabs>
          <w:tab w:val="left" w:pos="0"/>
          <w:tab w:val="left" w:pos="1134"/>
        </w:tabs>
        <w:ind w:firstLine="709"/>
        <w:jc w:val="both"/>
        <w:rPr>
          <w:sz w:val="28"/>
          <w:szCs w:val="28"/>
          <w:shd w:val="clear" w:color="auto" w:fill="FFFFFF"/>
          <w:lang w:val="uk-UA"/>
        </w:rPr>
      </w:pPr>
      <w:r w:rsidRPr="006C2C92">
        <w:rPr>
          <w:rStyle w:val="ae"/>
          <w:b w:val="0"/>
          <w:bCs/>
          <w:sz w:val="28"/>
          <w:szCs w:val="28"/>
          <w:shd w:val="clear" w:color="auto" w:fill="FFFFFF"/>
          <w:lang w:val="uk-UA"/>
        </w:rPr>
        <w:t xml:space="preserve">Вклад «Воїнам України» </w:t>
      </w:r>
      <w:r w:rsidRPr="006C2C92">
        <w:rPr>
          <w:sz w:val="28"/>
          <w:szCs w:val="28"/>
          <w:shd w:val="clear" w:color="auto" w:fill="FFFFFF"/>
          <w:lang w:val="uk-UA"/>
        </w:rPr>
        <w:t>відкривається зазначеним категоріям громадян України за умови надання документів, що підтверджують статус військовослужбовця та родинні зв’язки з таким військовослужбовцем.</w:t>
      </w:r>
    </w:p>
    <w:p w:rsidR="006C2C92" w:rsidRPr="006C2C92" w:rsidRDefault="006C2C92" w:rsidP="00C73406">
      <w:pPr>
        <w:tabs>
          <w:tab w:val="left" w:pos="0"/>
          <w:tab w:val="left" w:pos="1134"/>
        </w:tabs>
        <w:ind w:firstLine="709"/>
        <w:jc w:val="both"/>
        <w:rPr>
          <w:sz w:val="28"/>
          <w:szCs w:val="28"/>
          <w:lang w:val="uk-UA"/>
        </w:rPr>
      </w:pPr>
      <w:r>
        <w:rPr>
          <w:sz w:val="28"/>
          <w:szCs w:val="28"/>
          <w:lang w:val="uk-UA"/>
        </w:rPr>
        <w:t>2</w:t>
      </w:r>
      <w:r w:rsidRPr="006C2C92">
        <w:rPr>
          <w:sz w:val="28"/>
          <w:szCs w:val="28"/>
          <w:lang w:val="uk-UA"/>
        </w:rPr>
        <w:t xml:space="preserve">. </w:t>
      </w:r>
      <w:r w:rsidRPr="006C2C92">
        <w:rPr>
          <w:b/>
          <w:sz w:val="28"/>
          <w:szCs w:val="28"/>
          <w:lang w:val="uk-UA"/>
        </w:rPr>
        <w:t>Статус військовослужбовця</w:t>
      </w:r>
      <w:r w:rsidRPr="006C2C92">
        <w:rPr>
          <w:sz w:val="28"/>
          <w:szCs w:val="28"/>
          <w:lang w:val="uk-UA"/>
        </w:rPr>
        <w:t xml:space="preserve"> підтверджується на підставі документу/ів, що видаються відповідно до виду військової служби органом Міністерства оборони України (Збройних сил України), Міністерством внутрішніх справ України, Служби безпеки України, Національної гвардії України, територіальним центром комплектування та соціальної підтримки тощо. До таких документів, зокрема, але не виключно, належать:</w:t>
      </w:r>
    </w:p>
    <w:p w:rsidR="006C2C92" w:rsidRPr="006C2C92" w:rsidRDefault="006C2C92" w:rsidP="006C2C92">
      <w:pPr>
        <w:numPr>
          <w:ilvl w:val="0"/>
          <w:numId w:val="8"/>
        </w:numPr>
        <w:shd w:val="clear" w:color="auto" w:fill="FFFFFF"/>
        <w:tabs>
          <w:tab w:val="clear" w:pos="720"/>
          <w:tab w:val="left" w:pos="567"/>
        </w:tabs>
        <w:ind w:left="567" w:hanging="283"/>
        <w:rPr>
          <w:sz w:val="28"/>
          <w:szCs w:val="28"/>
          <w:lang w:val="uk-UA"/>
        </w:rPr>
      </w:pPr>
      <w:r w:rsidRPr="006C2C92">
        <w:rPr>
          <w:sz w:val="28"/>
          <w:szCs w:val="28"/>
          <w:lang w:val="uk-UA"/>
        </w:rPr>
        <w:t>військовий квиток з  відмітками про призов під час мобілізації або його копія, завірена військовою частиною чи нотаріально;</w:t>
      </w:r>
    </w:p>
    <w:p w:rsidR="006C2C92" w:rsidRPr="006C2C92" w:rsidRDefault="006C2C92" w:rsidP="006C2C92">
      <w:pPr>
        <w:numPr>
          <w:ilvl w:val="0"/>
          <w:numId w:val="8"/>
        </w:numPr>
        <w:shd w:val="clear" w:color="auto" w:fill="FFFFFF"/>
        <w:tabs>
          <w:tab w:val="clear" w:pos="720"/>
          <w:tab w:val="left" w:pos="567"/>
        </w:tabs>
        <w:ind w:left="567" w:hanging="283"/>
        <w:rPr>
          <w:sz w:val="28"/>
          <w:szCs w:val="28"/>
          <w:lang w:val="uk-UA"/>
        </w:rPr>
      </w:pPr>
      <w:r w:rsidRPr="006C2C92">
        <w:rPr>
          <w:sz w:val="28"/>
          <w:szCs w:val="28"/>
          <w:lang w:val="uk-UA"/>
        </w:rPr>
        <w:t>контракт або його копія, завірена військовою частиною чи нотаріально;</w:t>
      </w:r>
    </w:p>
    <w:p w:rsidR="006C2C92" w:rsidRPr="006C2C92" w:rsidRDefault="006C2C92" w:rsidP="006C2C92">
      <w:pPr>
        <w:numPr>
          <w:ilvl w:val="0"/>
          <w:numId w:val="8"/>
        </w:numPr>
        <w:shd w:val="clear" w:color="auto" w:fill="FFFFFF"/>
        <w:tabs>
          <w:tab w:val="clear" w:pos="720"/>
          <w:tab w:val="left" w:pos="567"/>
        </w:tabs>
        <w:ind w:left="567" w:hanging="283"/>
        <w:jc w:val="both"/>
        <w:rPr>
          <w:sz w:val="28"/>
          <w:szCs w:val="28"/>
          <w:lang w:val="uk-UA"/>
        </w:rPr>
      </w:pPr>
      <w:r w:rsidRPr="006C2C92">
        <w:rPr>
          <w:sz w:val="28"/>
          <w:szCs w:val="28"/>
          <w:lang w:val="uk-UA"/>
        </w:rPr>
        <w:t>довідка про призов військовозобов'язаного або резервіста на військову службу за призовом під час мобілізації, на особливий період;</w:t>
      </w:r>
    </w:p>
    <w:p w:rsidR="006C2C92" w:rsidRPr="006C2C92" w:rsidRDefault="006C2C92" w:rsidP="006C2C92">
      <w:pPr>
        <w:numPr>
          <w:ilvl w:val="0"/>
          <w:numId w:val="8"/>
        </w:numPr>
        <w:shd w:val="clear" w:color="auto" w:fill="FFFFFF"/>
        <w:tabs>
          <w:tab w:val="clear" w:pos="720"/>
          <w:tab w:val="left" w:pos="567"/>
        </w:tabs>
        <w:ind w:left="567" w:hanging="283"/>
        <w:jc w:val="both"/>
        <w:rPr>
          <w:sz w:val="28"/>
          <w:szCs w:val="28"/>
          <w:lang w:val="uk-UA"/>
        </w:rPr>
      </w:pPr>
      <w:r w:rsidRPr="006C2C92">
        <w:rPr>
          <w:sz w:val="28"/>
          <w:szCs w:val="28"/>
          <w:lang w:val="uk-UA"/>
        </w:rPr>
        <w:t>витяг із наказу або довідка про зарахування до списків військової частини, які видаються військовою частиною;</w:t>
      </w:r>
    </w:p>
    <w:p w:rsidR="006C2C92" w:rsidRPr="006C2C92" w:rsidRDefault="006C2C92" w:rsidP="006C2C92">
      <w:pPr>
        <w:pStyle w:val="23"/>
        <w:numPr>
          <w:ilvl w:val="0"/>
          <w:numId w:val="8"/>
        </w:numPr>
        <w:tabs>
          <w:tab w:val="clear" w:pos="720"/>
          <w:tab w:val="clear" w:pos="1260"/>
          <w:tab w:val="left" w:pos="567"/>
          <w:tab w:val="left" w:pos="9360"/>
        </w:tabs>
        <w:ind w:left="567" w:hanging="283"/>
      </w:pPr>
      <w:r w:rsidRPr="006C2C92">
        <w:t>довідка щодо участі у здійсненні заходів із забезпечення національної безпеки і оборони, відсічі і стримуванні збройної агресії РФ у Донецькій та Луганській обл. та/або</w:t>
      </w:r>
    </w:p>
    <w:p w:rsidR="006C2C92" w:rsidRPr="006C2C92" w:rsidRDefault="006C2C92" w:rsidP="006C2C92">
      <w:pPr>
        <w:pStyle w:val="23"/>
        <w:numPr>
          <w:ilvl w:val="0"/>
          <w:numId w:val="8"/>
        </w:numPr>
        <w:tabs>
          <w:tab w:val="clear" w:pos="720"/>
          <w:tab w:val="clear" w:pos="1260"/>
          <w:tab w:val="left" w:pos="567"/>
          <w:tab w:val="left" w:pos="9360"/>
        </w:tabs>
        <w:ind w:left="567" w:hanging="283"/>
      </w:pPr>
      <w:r w:rsidRPr="006C2C92">
        <w:t xml:space="preserve"> витяг з наказу Генерального штабу ЗСУ про залучення до здійснення заходів або витяг із наказу Командувача об’єднаних сил, командирів оперативно-тактичних угруповань про прибуття (вибуття) до (з) районів здійснення цих заходів або </w:t>
      </w:r>
    </w:p>
    <w:p w:rsidR="006C2C92" w:rsidRPr="006C2C92" w:rsidRDefault="006C2C92" w:rsidP="006C2C92">
      <w:pPr>
        <w:pStyle w:val="23"/>
        <w:numPr>
          <w:ilvl w:val="0"/>
          <w:numId w:val="8"/>
        </w:numPr>
        <w:tabs>
          <w:tab w:val="clear" w:pos="720"/>
          <w:tab w:val="clear" w:pos="1260"/>
          <w:tab w:val="left" w:pos="567"/>
          <w:tab w:val="left" w:pos="9360"/>
        </w:tabs>
        <w:ind w:left="567" w:hanging="283"/>
      </w:pPr>
      <w:r w:rsidRPr="006C2C92">
        <w:t>документи про направлення у відрядження до районів здійснення цих заходів;</w:t>
      </w:r>
    </w:p>
    <w:p w:rsidR="006C2C92" w:rsidRPr="006C2C92" w:rsidRDefault="006C2C92" w:rsidP="006C2C92">
      <w:pPr>
        <w:numPr>
          <w:ilvl w:val="0"/>
          <w:numId w:val="8"/>
        </w:numPr>
        <w:shd w:val="clear" w:color="auto" w:fill="FFFFFF"/>
        <w:tabs>
          <w:tab w:val="clear" w:pos="720"/>
          <w:tab w:val="left" w:pos="567"/>
        </w:tabs>
        <w:ind w:left="567" w:hanging="283"/>
        <w:jc w:val="both"/>
        <w:rPr>
          <w:sz w:val="28"/>
          <w:szCs w:val="28"/>
          <w:lang w:val="uk-UA"/>
        </w:rPr>
      </w:pPr>
      <w:r w:rsidRPr="006C2C92">
        <w:rPr>
          <w:sz w:val="28"/>
          <w:szCs w:val="28"/>
          <w:lang w:val="uk-UA"/>
        </w:rPr>
        <w:t>посвідчення офіцера;</w:t>
      </w:r>
    </w:p>
    <w:p w:rsidR="006C2C92" w:rsidRPr="006C2C92" w:rsidRDefault="006C2C92" w:rsidP="006C2C92">
      <w:pPr>
        <w:pStyle w:val="ad"/>
        <w:widowControl w:val="0"/>
        <w:numPr>
          <w:ilvl w:val="0"/>
          <w:numId w:val="8"/>
        </w:numPr>
        <w:tabs>
          <w:tab w:val="clear" w:pos="720"/>
          <w:tab w:val="left" w:pos="567"/>
        </w:tabs>
        <w:spacing w:after="0" w:line="240" w:lineRule="auto"/>
        <w:ind w:left="567" w:hanging="283"/>
        <w:rPr>
          <w:rFonts w:ascii="Times New Roman" w:hAnsi="Times New Roman"/>
          <w:sz w:val="28"/>
          <w:szCs w:val="28"/>
          <w:lang w:val="uk-UA"/>
        </w:rPr>
      </w:pPr>
      <w:r w:rsidRPr="006C2C92">
        <w:rPr>
          <w:rFonts w:ascii="Times New Roman" w:hAnsi="Times New Roman"/>
          <w:sz w:val="28"/>
          <w:szCs w:val="28"/>
          <w:lang w:val="uk-UA"/>
        </w:rPr>
        <w:t>документ, що підтверджує загибель військовослужбовця/добровольця.</w:t>
      </w:r>
    </w:p>
    <w:p w:rsidR="006C2C92" w:rsidRPr="006C2C92" w:rsidRDefault="006C2C92" w:rsidP="006C2C92">
      <w:pPr>
        <w:shd w:val="clear" w:color="auto" w:fill="FFFFFF"/>
        <w:tabs>
          <w:tab w:val="left" w:pos="567"/>
        </w:tabs>
        <w:ind w:firstLine="709"/>
        <w:jc w:val="both"/>
        <w:rPr>
          <w:sz w:val="20"/>
          <w:szCs w:val="28"/>
          <w:lang w:val="uk-UA"/>
        </w:rPr>
      </w:pPr>
    </w:p>
    <w:p w:rsidR="006C2C92" w:rsidRPr="006C2C92" w:rsidRDefault="006C2C92" w:rsidP="006C2C92">
      <w:pPr>
        <w:shd w:val="clear" w:color="auto" w:fill="FFFFFF"/>
        <w:tabs>
          <w:tab w:val="left" w:pos="567"/>
          <w:tab w:val="left" w:pos="709"/>
        </w:tabs>
        <w:ind w:firstLine="709"/>
        <w:jc w:val="both"/>
        <w:rPr>
          <w:sz w:val="28"/>
          <w:szCs w:val="28"/>
          <w:lang w:val="uk-UA"/>
        </w:rPr>
      </w:pPr>
      <w:r w:rsidRPr="006C2C92">
        <w:rPr>
          <w:b/>
          <w:sz w:val="28"/>
          <w:szCs w:val="28"/>
          <w:lang w:val="uk-UA"/>
        </w:rPr>
        <w:t>Родинні зв’язки з військовослужбовцем підтверджуються</w:t>
      </w:r>
      <w:r w:rsidRPr="006C2C92">
        <w:rPr>
          <w:sz w:val="28"/>
          <w:szCs w:val="28"/>
          <w:lang w:val="uk-UA"/>
        </w:rPr>
        <w:t xml:space="preserve"> на підставі таких документів:</w:t>
      </w:r>
    </w:p>
    <w:p w:rsidR="006C2C92" w:rsidRPr="006C2C92" w:rsidRDefault="006C2C92" w:rsidP="006C2C92">
      <w:pPr>
        <w:numPr>
          <w:ilvl w:val="0"/>
          <w:numId w:val="9"/>
        </w:numPr>
        <w:shd w:val="clear" w:color="auto" w:fill="FFFFFF"/>
        <w:tabs>
          <w:tab w:val="clear" w:pos="720"/>
          <w:tab w:val="left" w:pos="567"/>
          <w:tab w:val="left" w:pos="709"/>
        </w:tabs>
        <w:rPr>
          <w:sz w:val="28"/>
          <w:szCs w:val="28"/>
          <w:lang w:val="uk-UA"/>
        </w:rPr>
      </w:pPr>
      <w:r w:rsidRPr="006C2C92">
        <w:rPr>
          <w:sz w:val="28"/>
          <w:szCs w:val="28"/>
          <w:lang w:val="uk-UA"/>
        </w:rPr>
        <w:t>свідоцтво про шлюб;</w:t>
      </w:r>
    </w:p>
    <w:p w:rsidR="006C2C92" w:rsidRPr="006C2C92" w:rsidRDefault="006C2C92" w:rsidP="006C2C92">
      <w:pPr>
        <w:numPr>
          <w:ilvl w:val="0"/>
          <w:numId w:val="9"/>
        </w:numPr>
        <w:shd w:val="clear" w:color="auto" w:fill="FFFFFF"/>
        <w:tabs>
          <w:tab w:val="clear" w:pos="720"/>
          <w:tab w:val="left" w:pos="567"/>
          <w:tab w:val="left" w:pos="709"/>
        </w:tabs>
        <w:rPr>
          <w:sz w:val="28"/>
          <w:szCs w:val="28"/>
          <w:lang w:val="uk-UA"/>
        </w:rPr>
      </w:pPr>
      <w:r w:rsidRPr="006C2C92">
        <w:rPr>
          <w:sz w:val="28"/>
          <w:szCs w:val="28"/>
          <w:lang w:val="uk-UA"/>
        </w:rPr>
        <w:t>свідоцтво про народження;</w:t>
      </w:r>
    </w:p>
    <w:p w:rsidR="006C2C92" w:rsidRPr="006C2C92" w:rsidRDefault="006C2C92" w:rsidP="006C2C92">
      <w:pPr>
        <w:numPr>
          <w:ilvl w:val="0"/>
          <w:numId w:val="9"/>
        </w:numPr>
        <w:shd w:val="clear" w:color="auto" w:fill="FFFFFF"/>
        <w:tabs>
          <w:tab w:val="clear" w:pos="720"/>
          <w:tab w:val="left" w:pos="567"/>
          <w:tab w:val="left" w:pos="709"/>
        </w:tabs>
        <w:rPr>
          <w:sz w:val="28"/>
          <w:szCs w:val="28"/>
          <w:lang w:val="uk-UA"/>
        </w:rPr>
      </w:pPr>
      <w:r w:rsidRPr="006C2C92">
        <w:rPr>
          <w:sz w:val="28"/>
          <w:szCs w:val="28"/>
          <w:lang w:val="uk-UA"/>
        </w:rPr>
        <w:t>витяг з Державного реєстру актів цивільного стану громадян.</w:t>
      </w:r>
    </w:p>
    <w:p w:rsidR="006C2C92" w:rsidRPr="006C2C92" w:rsidRDefault="006C2C92" w:rsidP="00743287">
      <w:pPr>
        <w:pStyle w:val="ad"/>
        <w:tabs>
          <w:tab w:val="left" w:pos="567"/>
        </w:tabs>
        <w:spacing w:after="0" w:line="240" w:lineRule="auto"/>
        <w:ind w:left="0" w:firstLine="567"/>
        <w:jc w:val="both"/>
        <w:rPr>
          <w:rFonts w:ascii="Times New Roman" w:hAnsi="Times New Roman"/>
          <w:sz w:val="28"/>
          <w:szCs w:val="28"/>
          <w:lang w:val="uk-UA"/>
        </w:rPr>
      </w:pPr>
      <w:r w:rsidRPr="006C2C92">
        <w:rPr>
          <w:rFonts w:ascii="Times New Roman" w:hAnsi="Times New Roman"/>
          <w:sz w:val="28"/>
          <w:szCs w:val="28"/>
          <w:lang w:val="uk-UA"/>
        </w:rPr>
        <w:t>Копії документів, завірені економістом, зберігаються в справі з юридичного оформлення.</w:t>
      </w:r>
    </w:p>
    <w:p w:rsidR="006C2C92" w:rsidRPr="006C2C92" w:rsidRDefault="006C2C92" w:rsidP="00743287">
      <w:pPr>
        <w:ind w:firstLine="567"/>
        <w:jc w:val="both"/>
        <w:rPr>
          <w:sz w:val="28"/>
          <w:szCs w:val="28"/>
          <w:lang w:val="uk-UA"/>
        </w:rPr>
      </w:pPr>
      <w:r w:rsidRPr="006C2C92">
        <w:rPr>
          <w:sz w:val="28"/>
          <w:szCs w:val="28"/>
          <w:lang w:val="uk-UA"/>
        </w:rPr>
        <w:t xml:space="preserve">У період дії воєнного стану, якщо клієнт не може  надати оригінали чи завірені копії документів, що підтверджують родинні зв’язки з військовослужбовцем та його статус, економіст має право отримати фото/сканкопії документів, перерахованих вище по тексту, засобами електронної комунікації (електронна пошта Полікомбанку, Signal, Viber тощо).  </w:t>
      </w:r>
    </w:p>
    <w:p w:rsidR="006C2C92" w:rsidRPr="006C2C92" w:rsidRDefault="006C2C92" w:rsidP="006C2C92">
      <w:pPr>
        <w:pStyle w:val="ad"/>
        <w:spacing w:after="0" w:line="240" w:lineRule="auto"/>
        <w:rPr>
          <w:rFonts w:ascii="Times New Roman" w:hAnsi="Times New Roman"/>
          <w:sz w:val="28"/>
          <w:szCs w:val="28"/>
          <w:lang w:val="uk-UA"/>
        </w:rPr>
      </w:pPr>
    </w:p>
    <w:sectPr w:rsidR="006C2C92" w:rsidRPr="006C2C92" w:rsidSect="00C73406">
      <w:pgSz w:w="11906" w:h="16838"/>
      <w:pgMar w:top="1134" w:right="707"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F8C" w:rsidRDefault="00002F8C">
      <w:r>
        <w:separator/>
      </w:r>
    </w:p>
  </w:endnote>
  <w:endnote w:type="continuationSeparator" w:id="0">
    <w:p w:rsidR="00002F8C" w:rsidRDefault="0000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l?r ???fc"/>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F8C" w:rsidRDefault="00002F8C">
      <w:r>
        <w:separator/>
      </w:r>
    </w:p>
  </w:footnote>
  <w:footnote w:type="continuationSeparator" w:id="0">
    <w:p w:rsidR="00002F8C" w:rsidRDefault="0000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164B"/>
    <w:multiLevelType w:val="hybridMultilevel"/>
    <w:tmpl w:val="BAC81CF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nsid w:val="057B7398"/>
    <w:multiLevelType w:val="hybridMultilevel"/>
    <w:tmpl w:val="EA40185A"/>
    <w:lvl w:ilvl="0" w:tplc="544C8174">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00D3CC3"/>
    <w:multiLevelType w:val="multilevel"/>
    <w:tmpl w:val="A8A6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4A23FA"/>
    <w:multiLevelType w:val="multilevel"/>
    <w:tmpl w:val="F0CC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4A5BE0"/>
    <w:multiLevelType w:val="hybridMultilevel"/>
    <w:tmpl w:val="54E44AE8"/>
    <w:lvl w:ilvl="0" w:tplc="A2CCF088">
      <w:start w:val="1"/>
      <w:numFmt w:val="decimal"/>
      <w:lvlText w:val="%1)"/>
      <w:lvlJc w:val="left"/>
      <w:pPr>
        <w:tabs>
          <w:tab w:val="num" w:pos="720"/>
        </w:tabs>
        <w:ind w:left="720" w:hanging="360"/>
      </w:pPr>
      <w:rPr>
        <w:rFonts w:cs="Times New Roman" w:hint="default"/>
        <w:sz w:val="29"/>
        <w:szCs w:val="29"/>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DA5609C"/>
    <w:multiLevelType w:val="hybridMultilevel"/>
    <w:tmpl w:val="1DC46AB4"/>
    <w:lvl w:ilvl="0" w:tplc="ED9E7894">
      <w:start w:val="1"/>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D33B89"/>
    <w:multiLevelType w:val="hybridMultilevel"/>
    <w:tmpl w:val="7116BAC6"/>
    <w:lvl w:ilvl="0" w:tplc="FFFFFFF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2642BB0"/>
    <w:multiLevelType w:val="singleLevel"/>
    <w:tmpl w:val="04190011"/>
    <w:lvl w:ilvl="0">
      <w:start w:val="1"/>
      <w:numFmt w:val="decimal"/>
      <w:lvlText w:val="%1)"/>
      <w:lvlJc w:val="left"/>
      <w:pPr>
        <w:tabs>
          <w:tab w:val="num" w:pos="360"/>
        </w:tabs>
        <w:ind w:left="360" w:hanging="360"/>
      </w:pPr>
      <w:rPr>
        <w:rFonts w:cs="Times New Roman"/>
      </w:rPr>
    </w:lvl>
  </w:abstractNum>
  <w:abstractNum w:abstractNumId="8">
    <w:nsid w:val="4F0A76DA"/>
    <w:multiLevelType w:val="hybridMultilevel"/>
    <w:tmpl w:val="E0D61D48"/>
    <w:lvl w:ilvl="0" w:tplc="8946AB08">
      <w:start w:val="2"/>
      <w:numFmt w:val="decimal"/>
      <w:lvlText w:val="%1)"/>
      <w:lvlJc w:val="left"/>
      <w:pPr>
        <w:tabs>
          <w:tab w:val="num" w:pos="720"/>
        </w:tabs>
        <w:ind w:left="720" w:hanging="360"/>
      </w:pPr>
      <w:rPr>
        <w:rFonts w:cs="Times New Roman" w:hint="default"/>
        <w:u w:val="singl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7"/>
  </w:num>
  <w:num w:numId="3">
    <w:abstractNumId w:val="6"/>
  </w:num>
  <w:num w:numId="4">
    <w:abstractNumId w:val="8"/>
  </w:num>
  <w:num w:numId="5">
    <w:abstractNumId w:val="4"/>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D7E"/>
    <w:rsid w:val="000008A3"/>
    <w:rsid w:val="00002F8C"/>
    <w:rsid w:val="00011630"/>
    <w:rsid w:val="00014C35"/>
    <w:rsid w:val="00014D29"/>
    <w:rsid w:val="000214C7"/>
    <w:rsid w:val="00024D6D"/>
    <w:rsid w:val="00033F43"/>
    <w:rsid w:val="00042477"/>
    <w:rsid w:val="00044234"/>
    <w:rsid w:val="00045E8E"/>
    <w:rsid w:val="00053CFA"/>
    <w:rsid w:val="000541E4"/>
    <w:rsid w:val="0005668D"/>
    <w:rsid w:val="00063B0C"/>
    <w:rsid w:val="000641AE"/>
    <w:rsid w:val="00090BE8"/>
    <w:rsid w:val="000932CD"/>
    <w:rsid w:val="000B4A4B"/>
    <w:rsid w:val="000B5333"/>
    <w:rsid w:val="000B613C"/>
    <w:rsid w:val="000B6156"/>
    <w:rsid w:val="000C0F83"/>
    <w:rsid w:val="000C499C"/>
    <w:rsid w:val="000C7E2B"/>
    <w:rsid w:val="000D498F"/>
    <w:rsid w:val="000D57E0"/>
    <w:rsid w:val="000E1C55"/>
    <w:rsid w:val="000E2A52"/>
    <w:rsid w:val="000E78DF"/>
    <w:rsid w:val="000F168A"/>
    <w:rsid w:val="00105AE2"/>
    <w:rsid w:val="00105E84"/>
    <w:rsid w:val="001172DD"/>
    <w:rsid w:val="001179B1"/>
    <w:rsid w:val="00124329"/>
    <w:rsid w:val="00136D10"/>
    <w:rsid w:val="00142280"/>
    <w:rsid w:val="00142DA3"/>
    <w:rsid w:val="00143BCF"/>
    <w:rsid w:val="001454E4"/>
    <w:rsid w:val="00146960"/>
    <w:rsid w:val="001516A5"/>
    <w:rsid w:val="0015537E"/>
    <w:rsid w:val="00165C25"/>
    <w:rsid w:val="00165DC1"/>
    <w:rsid w:val="0017274A"/>
    <w:rsid w:val="001727E0"/>
    <w:rsid w:val="001740A6"/>
    <w:rsid w:val="00182003"/>
    <w:rsid w:val="0018361F"/>
    <w:rsid w:val="00191902"/>
    <w:rsid w:val="00195ECE"/>
    <w:rsid w:val="00196AEC"/>
    <w:rsid w:val="001B1077"/>
    <w:rsid w:val="001B3674"/>
    <w:rsid w:val="001B43C5"/>
    <w:rsid w:val="001B554C"/>
    <w:rsid w:val="001C08B0"/>
    <w:rsid w:val="001C15A5"/>
    <w:rsid w:val="001C1980"/>
    <w:rsid w:val="001D329E"/>
    <w:rsid w:val="001D4444"/>
    <w:rsid w:val="001D4CE8"/>
    <w:rsid w:val="001D74D1"/>
    <w:rsid w:val="001E4C5A"/>
    <w:rsid w:val="001F55ED"/>
    <w:rsid w:val="00202C76"/>
    <w:rsid w:val="0020483B"/>
    <w:rsid w:val="0021291A"/>
    <w:rsid w:val="002204D1"/>
    <w:rsid w:val="002213DD"/>
    <w:rsid w:val="0022202C"/>
    <w:rsid w:val="002335C2"/>
    <w:rsid w:val="0023512F"/>
    <w:rsid w:val="00236223"/>
    <w:rsid w:val="00246779"/>
    <w:rsid w:val="00246F9F"/>
    <w:rsid w:val="00250B2E"/>
    <w:rsid w:val="00250DDC"/>
    <w:rsid w:val="002520AE"/>
    <w:rsid w:val="00257E29"/>
    <w:rsid w:val="002635F6"/>
    <w:rsid w:val="00283274"/>
    <w:rsid w:val="00285609"/>
    <w:rsid w:val="00294C5F"/>
    <w:rsid w:val="00297539"/>
    <w:rsid w:val="002A1C2C"/>
    <w:rsid w:val="002A2FE6"/>
    <w:rsid w:val="002A5207"/>
    <w:rsid w:val="002B1B35"/>
    <w:rsid w:val="002C18F3"/>
    <w:rsid w:val="002C76C2"/>
    <w:rsid w:val="002D3D08"/>
    <w:rsid w:val="002D7741"/>
    <w:rsid w:val="002E6192"/>
    <w:rsid w:val="002E6A5D"/>
    <w:rsid w:val="002F50F8"/>
    <w:rsid w:val="002F74C9"/>
    <w:rsid w:val="0030038D"/>
    <w:rsid w:val="003100A7"/>
    <w:rsid w:val="00321ABC"/>
    <w:rsid w:val="0032661A"/>
    <w:rsid w:val="00326A2B"/>
    <w:rsid w:val="003312BB"/>
    <w:rsid w:val="00337A8F"/>
    <w:rsid w:val="00337AE4"/>
    <w:rsid w:val="003436F0"/>
    <w:rsid w:val="00343AB9"/>
    <w:rsid w:val="00343B17"/>
    <w:rsid w:val="00347C39"/>
    <w:rsid w:val="00355B55"/>
    <w:rsid w:val="00357398"/>
    <w:rsid w:val="00363040"/>
    <w:rsid w:val="0037149F"/>
    <w:rsid w:val="00374B3A"/>
    <w:rsid w:val="0038426B"/>
    <w:rsid w:val="00390E94"/>
    <w:rsid w:val="00393501"/>
    <w:rsid w:val="00393F14"/>
    <w:rsid w:val="003976BB"/>
    <w:rsid w:val="003977EE"/>
    <w:rsid w:val="003A20D3"/>
    <w:rsid w:val="003B4242"/>
    <w:rsid w:val="003C210B"/>
    <w:rsid w:val="003C33DD"/>
    <w:rsid w:val="003C4318"/>
    <w:rsid w:val="003C4AC0"/>
    <w:rsid w:val="003C58DC"/>
    <w:rsid w:val="003D4F85"/>
    <w:rsid w:val="003E0F3D"/>
    <w:rsid w:val="003E134F"/>
    <w:rsid w:val="003E2F6F"/>
    <w:rsid w:val="003E5157"/>
    <w:rsid w:val="003F0BB8"/>
    <w:rsid w:val="003F1A20"/>
    <w:rsid w:val="003F4772"/>
    <w:rsid w:val="003F6978"/>
    <w:rsid w:val="0040710A"/>
    <w:rsid w:val="004115CA"/>
    <w:rsid w:val="00412E2E"/>
    <w:rsid w:val="0041650F"/>
    <w:rsid w:val="004336B1"/>
    <w:rsid w:val="0043609B"/>
    <w:rsid w:val="004434A4"/>
    <w:rsid w:val="00444EF4"/>
    <w:rsid w:val="00454452"/>
    <w:rsid w:val="00457375"/>
    <w:rsid w:val="00462698"/>
    <w:rsid w:val="0046567A"/>
    <w:rsid w:val="00470B54"/>
    <w:rsid w:val="0047106D"/>
    <w:rsid w:val="00472337"/>
    <w:rsid w:val="00477951"/>
    <w:rsid w:val="004815F9"/>
    <w:rsid w:val="0048342D"/>
    <w:rsid w:val="00483753"/>
    <w:rsid w:val="0048395B"/>
    <w:rsid w:val="004872F2"/>
    <w:rsid w:val="00487AE2"/>
    <w:rsid w:val="004A4D56"/>
    <w:rsid w:val="004A515A"/>
    <w:rsid w:val="004B0F43"/>
    <w:rsid w:val="004B4244"/>
    <w:rsid w:val="004B693D"/>
    <w:rsid w:val="004B6DC6"/>
    <w:rsid w:val="004B7131"/>
    <w:rsid w:val="004C57BB"/>
    <w:rsid w:val="004E0D9E"/>
    <w:rsid w:val="004E1C84"/>
    <w:rsid w:val="004F195D"/>
    <w:rsid w:val="00504946"/>
    <w:rsid w:val="00505FD6"/>
    <w:rsid w:val="00512938"/>
    <w:rsid w:val="0052039F"/>
    <w:rsid w:val="00523FAB"/>
    <w:rsid w:val="00534F49"/>
    <w:rsid w:val="005417CE"/>
    <w:rsid w:val="00542C59"/>
    <w:rsid w:val="0054389D"/>
    <w:rsid w:val="0055237C"/>
    <w:rsid w:val="00553D73"/>
    <w:rsid w:val="00554EE8"/>
    <w:rsid w:val="005550E3"/>
    <w:rsid w:val="005855A1"/>
    <w:rsid w:val="0058629F"/>
    <w:rsid w:val="00586A8B"/>
    <w:rsid w:val="0059351D"/>
    <w:rsid w:val="00596232"/>
    <w:rsid w:val="005A0E0C"/>
    <w:rsid w:val="005A2711"/>
    <w:rsid w:val="005A35DE"/>
    <w:rsid w:val="005A44C8"/>
    <w:rsid w:val="005A69BC"/>
    <w:rsid w:val="005A6BC4"/>
    <w:rsid w:val="005C287C"/>
    <w:rsid w:val="005D0F6C"/>
    <w:rsid w:val="005D6E3F"/>
    <w:rsid w:val="005E2399"/>
    <w:rsid w:val="005E50E8"/>
    <w:rsid w:val="005E7E67"/>
    <w:rsid w:val="005F50E5"/>
    <w:rsid w:val="00600909"/>
    <w:rsid w:val="00603E45"/>
    <w:rsid w:val="00604B8B"/>
    <w:rsid w:val="00605717"/>
    <w:rsid w:val="006162F1"/>
    <w:rsid w:val="00616A63"/>
    <w:rsid w:val="00621FC5"/>
    <w:rsid w:val="006341F3"/>
    <w:rsid w:val="00635D6C"/>
    <w:rsid w:val="0063623D"/>
    <w:rsid w:val="006376A3"/>
    <w:rsid w:val="006403A4"/>
    <w:rsid w:val="0064090C"/>
    <w:rsid w:val="00644BC5"/>
    <w:rsid w:val="00650060"/>
    <w:rsid w:val="0065392D"/>
    <w:rsid w:val="006573F2"/>
    <w:rsid w:val="00671A90"/>
    <w:rsid w:val="00671BA7"/>
    <w:rsid w:val="00671EF7"/>
    <w:rsid w:val="006803BB"/>
    <w:rsid w:val="00683412"/>
    <w:rsid w:val="00684C71"/>
    <w:rsid w:val="00686463"/>
    <w:rsid w:val="006A200E"/>
    <w:rsid w:val="006B0DD4"/>
    <w:rsid w:val="006B2DB6"/>
    <w:rsid w:val="006B32A1"/>
    <w:rsid w:val="006B50D2"/>
    <w:rsid w:val="006B75FE"/>
    <w:rsid w:val="006C1E89"/>
    <w:rsid w:val="006C2C92"/>
    <w:rsid w:val="006D140E"/>
    <w:rsid w:val="006D3C53"/>
    <w:rsid w:val="006D7290"/>
    <w:rsid w:val="006E6274"/>
    <w:rsid w:val="006E7082"/>
    <w:rsid w:val="006F167D"/>
    <w:rsid w:val="006F1CB0"/>
    <w:rsid w:val="006F6EA1"/>
    <w:rsid w:val="0070438F"/>
    <w:rsid w:val="00711F16"/>
    <w:rsid w:val="00712689"/>
    <w:rsid w:val="00716A24"/>
    <w:rsid w:val="00721803"/>
    <w:rsid w:val="00724821"/>
    <w:rsid w:val="00726885"/>
    <w:rsid w:val="007276F4"/>
    <w:rsid w:val="00727D02"/>
    <w:rsid w:val="00731E94"/>
    <w:rsid w:val="007414B4"/>
    <w:rsid w:val="007414BF"/>
    <w:rsid w:val="00743287"/>
    <w:rsid w:val="00744CC6"/>
    <w:rsid w:val="00745663"/>
    <w:rsid w:val="00745E51"/>
    <w:rsid w:val="00753253"/>
    <w:rsid w:val="00757C91"/>
    <w:rsid w:val="00760172"/>
    <w:rsid w:val="007666B9"/>
    <w:rsid w:val="00781E76"/>
    <w:rsid w:val="007938BC"/>
    <w:rsid w:val="0079788F"/>
    <w:rsid w:val="00797F85"/>
    <w:rsid w:val="007A1033"/>
    <w:rsid w:val="007A6A74"/>
    <w:rsid w:val="007B46C3"/>
    <w:rsid w:val="007C0E47"/>
    <w:rsid w:val="007C4143"/>
    <w:rsid w:val="007D0FB5"/>
    <w:rsid w:val="007D2988"/>
    <w:rsid w:val="007D4D0D"/>
    <w:rsid w:val="007D6B46"/>
    <w:rsid w:val="007E69C8"/>
    <w:rsid w:val="007E6C7C"/>
    <w:rsid w:val="007E7D3B"/>
    <w:rsid w:val="007F0D5E"/>
    <w:rsid w:val="008025A5"/>
    <w:rsid w:val="008104D7"/>
    <w:rsid w:val="00813869"/>
    <w:rsid w:val="008151CA"/>
    <w:rsid w:val="0081652D"/>
    <w:rsid w:val="008237C1"/>
    <w:rsid w:val="0083346F"/>
    <w:rsid w:val="008367BE"/>
    <w:rsid w:val="008373CE"/>
    <w:rsid w:val="00844F1D"/>
    <w:rsid w:val="00847F30"/>
    <w:rsid w:val="008508FF"/>
    <w:rsid w:val="00852986"/>
    <w:rsid w:val="00856C50"/>
    <w:rsid w:val="008663FD"/>
    <w:rsid w:val="008714F4"/>
    <w:rsid w:val="0087164C"/>
    <w:rsid w:val="0087692F"/>
    <w:rsid w:val="00876D5A"/>
    <w:rsid w:val="00880A72"/>
    <w:rsid w:val="00882C50"/>
    <w:rsid w:val="00887145"/>
    <w:rsid w:val="00887FC7"/>
    <w:rsid w:val="00893C83"/>
    <w:rsid w:val="00896818"/>
    <w:rsid w:val="008A1736"/>
    <w:rsid w:val="008A1E48"/>
    <w:rsid w:val="008A5831"/>
    <w:rsid w:val="008B188A"/>
    <w:rsid w:val="008B2AED"/>
    <w:rsid w:val="008B57F4"/>
    <w:rsid w:val="008D10BA"/>
    <w:rsid w:val="008D1BBA"/>
    <w:rsid w:val="008E0674"/>
    <w:rsid w:val="008E691F"/>
    <w:rsid w:val="008F0514"/>
    <w:rsid w:val="008F0CA1"/>
    <w:rsid w:val="008F0E36"/>
    <w:rsid w:val="008F63EE"/>
    <w:rsid w:val="008F77B7"/>
    <w:rsid w:val="00902D2E"/>
    <w:rsid w:val="00912BB9"/>
    <w:rsid w:val="00922A70"/>
    <w:rsid w:val="009241AB"/>
    <w:rsid w:val="009302F6"/>
    <w:rsid w:val="00932279"/>
    <w:rsid w:val="0094376C"/>
    <w:rsid w:val="0095438C"/>
    <w:rsid w:val="00956B3F"/>
    <w:rsid w:val="00956CAE"/>
    <w:rsid w:val="00957D01"/>
    <w:rsid w:val="009646F8"/>
    <w:rsid w:val="009740A9"/>
    <w:rsid w:val="00975875"/>
    <w:rsid w:val="009806BF"/>
    <w:rsid w:val="009926BE"/>
    <w:rsid w:val="00994BC9"/>
    <w:rsid w:val="009A29DC"/>
    <w:rsid w:val="009A5617"/>
    <w:rsid w:val="009B0C2B"/>
    <w:rsid w:val="009B2BA6"/>
    <w:rsid w:val="009B4BC0"/>
    <w:rsid w:val="009B6369"/>
    <w:rsid w:val="009B741E"/>
    <w:rsid w:val="009C2A04"/>
    <w:rsid w:val="009C5DBC"/>
    <w:rsid w:val="009D5F4A"/>
    <w:rsid w:val="009D7B16"/>
    <w:rsid w:val="009E34BB"/>
    <w:rsid w:val="009F0C30"/>
    <w:rsid w:val="00A04AD3"/>
    <w:rsid w:val="00A07289"/>
    <w:rsid w:val="00A07E02"/>
    <w:rsid w:val="00A1045B"/>
    <w:rsid w:val="00A21CB4"/>
    <w:rsid w:val="00A22F09"/>
    <w:rsid w:val="00A240DF"/>
    <w:rsid w:val="00A30DF0"/>
    <w:rsid w:val="00A33F3C"/>
    <w:rsid w:val="00A343CB"/>
    <w:rsid w:val="00A409FA"/>
    <w:rsid w:val="00A42EA1"/>
    <w:rsid w:val="00A47F8B"/>
    <w:rsid w:val="00A5206D"/>
    <w:rsid w:val="00A60444"/>
    <w:rsid w:val="00A6689F"/>
    <w:rsid w:val="00A706A4"/>
    <w:rsid w:val="00A7077B"/>
    <w:rsid w:val="00A72F9C"/>
    <w:rsid w:val="00A748E3"/>
    <w:rsid w:val="00A7493C"/>
    <w:rsid w:val="00A86500"/>
    <w:rsid w:val="00A86536"/>
    <w:rsid w:val="00A86BF5"/>
    <w:rsid w:val="00A86DEF"/>
    <w:rsid w:val="00A93ADB"/>
    <w:rsid w:val="00A96DF6"/>
    <w:rsid w:val="00A96FF1"/>
    <w:rsid w:val="00AB20A9"/>
    <w:rsid w:val="00AB6908"/>
    <w:rsid w:val="00AC094F"/>
    <w:rsid w:val="00AD5CA1"/>
    <w:rsid w:val="00AD6FDD"/>
    <w:rsid w:val="00AE0816"/>
    <w:rsid w:val="00B0331E"/>
    <w:rsid w:val="00B060D5"/>
    <w:rsid w:val="00B06867"/>
    <w:rsid w:val="00B1075B"/>
    <w:rsid w:val="00B1282D"/>
    <w:rsid w:val="00B21CF2"/>
    <w:rsid w:val="00B2436B"/>
    <w:rsid w:val="00B259C8"/>
    <w:rsid w:val="00B330FE"/>
    <w:rsid w:val="00B336A2"/>
    <w:rsid w:val="00B4052D"/>
    <w:rsid w:val="00B5318F"/>
    <w:rsid w:val="00B61F6A"/>
    <w:rsid w:val="00B62245"/>
    <w:rsid w:val="00B661B9"/>
    <w:rsid w:val="00B77B5A"/>
    <w:rsid w:val="00B8454E"/>
    <w:rsid w:val="00B84DC5"/>
    <w:rsid w:val="00B9713A"/>
    <w:rsid w:val="00BA0C77"/>
    <w:rsid w:val="00BB0202"/>
    <w:rsid w:val="00BB17CA"/>
    <w:rsid w:val="00BC4BDD"/>
    <w:rsid w:val="00BD0CA2"/>
    <w:rsid w:val="00BD2FF1"/>
    <w:rsid w:val="00BD4483"/>
    <w:rsid w:val="00BD70C2"/>
    <w:rsid w:val="00BE2CFA"/>
    <w:rsid w:val="00BE4106"/>
    <w:rsid w:val="00BE455B"/>
    <w:rsid w:val="00BE6089"/>
    <w:rsid w:val="00BF06B5"/>
    <w:rsid w:val="00BF6BE2"/>
    <w:rsid w:val="00C0034B"/>
    <w:rsid w:val="00C00736"/>
    <w:rsid w:val="00C01445"/>
    <w:rsid w:val="00C0547B"/>
    <w:rsid w:val="00C14D3A"/>
    <w:rsid w:val="00C2121D"/>
    <w:rsid w:val="00C25A63"/>
    <w:rsid w:val="00C264A9"/>
    <w:rsid w:val="00C26EBB"/>
    <w:rsid w:val="00C41B32"/>
    <w:rsid w:val="00C43B12"/>
    <w:rsid w:val="00C45B02"/>
    <w:rsid w:val="00C52157"/>
    <w:rsid w:val="00C57BF5"/>
    <w:rsid w:val="00C625C0"/>
    <w:rsid w:val="00C64829"/>
    <w:rsid w:val="00C65DEB"/>
    <w:rsid w:val="00C73406"/>
    <w:rsid w:val="00C751A2"/>
    <w:rsid w:val="00C75D44"/>
    <w:rsid w:val="00C77BE0"/>
    <w:rsid w:val="00C80886"/>
    <w:rsid w:val="00C90667"/>
    <w:rsid w:val="00C912BF"/>
    <w:rsid w:val="00CA451C"/>
    <w:rsid w:val="00CA5CE3"/>
    <w:rsid w:val="00CB5822"/>
    <w:rsid w:val="00CC54E0"/>
    <w:rsid w:val="00CC5D48"/>
    <w:rsid w:val="00CE26F5"/>
    <w:rsid w:val="00CE6E27"/>
    <w:rsid w:val="00CE78F1"/>
    <w:rsid w:val="00CF0489"/>
    <w:rsid w:val="00CF2161"/>
    <w:rsid w:val="00CF2B7C"/>
    <w:rsid w:val="00CF7256"/>
    <w:rsid w:val="00CF7901"/>
    <w:rsid w:val="00D01F41"/>
    <w:rsid w:val="00D07486"/>
    <w:rsid w:val="00D076A9"/>
    <w:rsid w:val="00D10DDB"/>
    <w:rsid w:val="00D121EA"/>
    <w:rsid w:val="00D14162"/>
    <w:rsid w:val="00D14FD6"/>
    <w:rsid w:val="00D2248E"/>
    <w:rsid w:val="00D37CF5"/>
    <w:rsid w:val="00D4703E"/>
    <w:rsid w:val="00D47928"/>
    <w:rsid w:val="00D50267"/>
    <w:rsid w:val="00D50DFC"/>
    <w:rsid w:val="00D513A4"/>
    <w:rsid w:val="00D55B31"/>
    <w:rsid w:val="00D7312E"/>
    <w:rsid w:val="00D7727E"/>
    <w:rsid w:val="00D808AA"/>
    <w:rsid w:val="00D82071"/>
    <w:rsid w:val="00D821AB"/>
    <w:rsid w:val="00D85A14"/>
    <w:rsid w:val="00D90AD7"/>
    <w:rsid w:val="00D919B2"/>
    <w:rsid w:val="00D951A5"/>
    <w:rsid w:val="00D951BE"/>
    <w:rsid w:val="00DA1D01"/>
    <w:rsid w:val="00DA1F1D"/>
    <w:rsid w:val="00DB2383"/>
    <w:rsid w:val="00DB4FD2"/>
    <w:rsid w:val="00DB639B"/>
    <w:rsid w:val="00DC3A5E"/>
    <w:rsid w:val="00DD2923"/>
    <w:rsid w:val="00DD4618"/>
    <w:rsid w:val="00DD49D1"/>
    <w:rsid w:val="00DE68AD"/>
    <w:rsid w:val="00DF0750"/>
    <w:rsid w:val="00E019AD"/>
    <w:rsid w:val="00E07B24"/>
    <w:rsid w:val="00E11066"/>
    <w:rsid w:val="00E11A5B"/>
    <w:rsid w:val="00E37DCE"/>
    <w:rsid w:val="00E37EC8"/>
    <w:rsid w:val="00E4476F"/>
    <w:rsid w:val="00E454F4"/>
    <w:rsid w:val="00E45ACB"/>
    <w:rsid w:val="00E472F8"/>
    <w:rsid w:val="00E56448"/>
    <w:rsid w:val="00E56EEC"/>
    <w:rsid w:val="00E634F8"/>
    <w:rsid w:val="00E64703"/>
    <w:rsid w:val="00E71006"/>
    <w:rsid w:val="00E74BE6"/>
    <w:rsid w:val="00E82447"/>
    <w:rsid w:val="00E854E9"/>
    <w:rsid w:val="00E9032C"/>
    <w:rsid w:val="00E936DC"/>
    <w:rsid w:val="00E95761"/>
    <w:rsid w:val="00E96AA0"/>
    <w:rsid w:val="00EA06C5"/>
    <w:rsid w:val="00EA126F"/>
    <w:rsid w:val="00EA1547"/>
    <w:rsid w:val="00EA4C12"/>
    <w:rsid w:val="00EC0FE8"/>
    <w:rsid w:val="00EC3255"/>
    <w:rsid w:val="00EC44C9"/>
    <w:rsid w:val="00ED4261"/>
    <w:rsid w:val="00EF0ACF"/>
    <w:rsid w:val="00EF1654"/>
    <w:rsid w:val="00F04218"/>
    <w:rsid w:val="00F135BD"/>
    <w:rsid w:val="00F16FFD"/>
    <w:rsid w:val="00F36D7E"/>
    <w:rsid w:val="00F42AA3"/>
    <w:rsid w:val="00F4348B"/>
    <w:rsid w:val="00F44805"/>
    <w:rsid w:val="00F47888"/>
    <w:rsid w:val="00F57C1B"/>
    <w:rsid w:val="00F60C3B"/>
    <w:rsid w:val="00F62447"/>
    <w:rsid w:val="00F6262E"/>
    <w:rsid w:val="00F67004"/>
    <w:rsid w:val="00F70BE3"/>
    <w:rsid w:val="00F74CF0"/>
    <w:rsid w:val="00F82B7A"/>
    <w:rsid w:val="00F871D5"/>
    <w:rsid w:val="00F945D8"/>
    <w:rsid w:val="00F95602"/>
    <w:rsid w:val="00F96165"/>
    <w:rsid w:val="00FA1941"/>
    <w:rsid w:val="00FA21E7"/>
    <w:rsid w:val="00FA41EB"/>
    <w:rsid w:val="00FB0411"/>
    <w:rsid w:val="00FB32F1"/>
    <w:rsid w:val="00FB3D1D"/>
    <w:rsid w:val="00FC06A6"/>
    <w:rsid w:val="00FC26C0"/>
    <w:rsid w:val="00FC4780"/>
    <w:rsid w:val="00FC4E96"/>
    <w:rsid w:val="00FD185F"/>
    <w:rsid w:val="00FD22B2"/>
    <w:rsid w:val="00FD6A26"/>
    <w:rsid w:val="00FD7EFC"/>
    <w:rsid w:val="00FE0AA0"/>
    <w:rsid w:val="00FF1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link w:val="10"/>
    <w:uiPriority w:val="9"/>
    <w:qFormat/>
    <w:pPr>
      <w:keepNext/>
      <w:jc w:val="center"/>
      <w:outlineLvl w:val="0"/>
    </w:pPr>
    <w:rPr>
      <w:sz w:val="28"/>
      <w:szCs w:val="28"/>
      <w:lang w:val="uk-UA"/>
    </w:rPr>
  </w:style>
  <w:style w:type="paragraph" w:styleId="2">
    <w:name w:val="heading 2"/>
    <w:basedOn w:val="a"/>
    <w:next w:val="a"/>
    <w:link w:val="20"/>
    <w:uiPriority w:val="9"/>
    <w:qFormat/>
    <w:pPr>
      <w:keepNext/>
      <w:jc w:val="center"/>
      <w:outlineLvl w:val="1"/>
    </w:pPr>
    <w:rPr>
      <w:b/>
      <w:bCs/>
      <w:i/>
      <w:iCs/>
      <w:sz w:val="28"/>
      <w:szCs w:val="28"/>
      <w:lang w:val="uk-UA"/>
    </w:rPr>
  </w:style>
  <w:style w:type="character" w:default="1" w:styleId="a0">
    <w:name w:val="Default Paragraph Font"/>
    <w:uiPriority w:val="1"/>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Body Text"/>
    <w:basedOn w:val="a"/>
    <w:link w:val="a4"/>
    <w:uiPriority w:val="99"/>
    <w:pPr>
      <w:jc w:val="both"/>
    </w:pPr>
    <w:rPr>
      <w:lang w:val="uk-UA"/>
    </w:rPr>
  </w:style>
  <w:style w:type="character" w:customStyle="1" w:styleId="a4">
    <w:name w:val="Основной текст Знак"/>
    <w:basedOn w:val="a0"/>
    <w:link w:val="a3"/>
    <w:uiPriority w:val="99"/>
    <w:semiHidden/>
    <w:locked/>
    <w:rPr>
      <w:rFonts w:cs="Times New Roman"/>
      <w:sz w:val="24"/>
      <w:szCs w:val="24"/>
    </w:rPr>
  </w:style>
  <w:style w:type="paragraph" w:customStyle="1" w:styleId="11">
    <w:name w:val="заголовок 1"/>
    <w:basedOn w:val="a"/>
    <w:next w:val="a"/>
    <w:pPr>
      <w:keepNext/>
      <w:autoSpaceDE w:val="0"/>
      <w:autoSpaceDN w:val="0"/>
      <w:spacing w:before="240" w:after="60"/>
      <w:jc w:val="both"/>
    </w:pPr>
    <w:rPr>
      <w:rFonts w:ascii="Arial" w:hAnsi="Arial" w:cs="Arial"/>
      <w:b/>
      <w:bCs/>
      <w:kern w:val="28"/>
      <w:sz w:val="28"/>
      <w:szCs w:val="28"/>
    </w:rPr>
  </w:style>
  <w:style w:type="paragraph" w:styleId="21">
    <w:name w:val="Body Text 2"/>
    <w:basedOn w:val="a"/>
    <w:link w:val="22"/>
    <w:uiPriority w:val="99"/>
    <w:pPr>
      <w:jc w:val="both"/>
    </w:pPr>
    <w:rPr>
      <w:sz w:val="28"/>
      <w:szCs w:val="28"/>
      <w:lang w:val="uk-UA"/>
    </w:rPr>
  </w:style>
  <w:style w:type="character" w:customStyle="1" w:styleId="22">
    <w:name w:val="Основной текст 2 Знак"/>
    <w:basedOn w:val="a0"/>
    <w:link w:val="21"/>
    <w:uiPriority w:val="99"/>
    <w:semiHidden/>
    <w:locked/>
    <w:rPr>
      <w:rFonts w:cs="Times New Roman"/>
      <w:sz w:val="24"/>
      <w:szCs w:val="24"/>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basedOn w:val="a0"/>
    <w:link w:val="a5"/>
    <w:uiPriority w:val="99"/>
    <w:semiHidden/>
    <w:locked/>
    <w:rPr>
      <w:rFonts w:cs="Times New Roman"/>
      <w:sz w:val="24"/>
      <w:szCs w:val="24"/>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semiHidden/>
    <w:locked/>
    <w:rPr>
      <w:rFonts w:cs="Times New Roman"/>
      <w:sz w:val="24"/>
      <w:szCs w:val="24"/>
    </w:rPr>
  </w:style>
  <w:style w:type="paragraph" w:customStyle="1" w:styleId="12">
    <w:name w:val="Знак Знак1 Знак Знак Знак Знак"/>
    <w:basedOn w:val="a"/>
    <w:rsid w:val="00CF7256"/>
    <w:pPr>
      <w:spacing w:after="160" w:line="240" w:lineRule="exact"/>
    </w:pPr>
    <w:rPr>
      <w:rFonts w:ascii="Verdana" w:hAnsi="Verdana" w:cs="Verdana"/>
      <w:sz w:val="20"/>
      <w:szCs w:val="20"/>
      <w:lang w:val="en-US" w:eastAsia="en-US"/>
    </w:rPr>
  </w:style>
  <w:style w:type="paragraph" w:customStyle="1" w:styleId="a9">
    <w:name w:val="Знак Знак Знак Знак"/>
    <w:basedOn w:val="a"/>
    <w:rsid w:val="00B2436B"/>
    <w:pPr>
      <w:spacing w:after="160" w:line="240" w:lineRule="exact"/>
    </w:pPr>
    <w:rPr>
      <w:rFonts w:ascii="Verdana" w:hAnsi="Verdana" w:cs="Verdana"/>
      <w:sz w:val="20"/>
      <w:szCs w:val="20"/>
      <w:lang w:val="en-US" w:eastAsia="en-US"/>
    </w:rPr>
  </w:style>
  <w:style w:type="paragraph" w:styleId="23">
    <w:name w:val="Body Text Indent 2"/>
    <w:basedOn w:val="a"/>
    <w:link w:val="24"/>
    <w:uiPriority w:val="99"/>
    <w:rsid w:val="0015537E"/>
    <w:pPr>
      <w:tabs>
        <w:tab w:val="left" w:pos="1260"/>
      </w:tabs>
      <w:ind w:firstLine="540"/>
      <w:jc w:val="both"/>
    </w:pPr>
    <w:rPr>
      <w:rFonts w:eastAsia="MS Mincho"/>
      <w:sz w:val="28"/>
      <w:szCs w:val="28"/>
      <w:lang w:val="uk-UA"/>
    </w:rPr>
  </w:style>
  <w:style w:type="character" w:customStyle="1" w:styleId="24">
    <w:name w:val="Основной текст с отступом 2 Знак"/>
    <w:basedOn w:val="a0"/>
    <w:link w:val="23"/>
    <w:uiPriority w:val="99"/>
    <w:semiHidden/>
    <w:locked/>
    <w:rPr>
      <w:rFonts w:cs="Times New Roman"/>
      <w:sz w:val="24"/>
      <w:szCs w:val="24"/>
    </w:rPr>
  </w:style>
  <w:style w:type="paragraph" w:styleId="aa">
    <w:name w:val="Title"/>
    <w:basedOn w:val="a"/>
    <w:link w:val="ab"/>
    <w:uiPriority w:val="10"/>
    <w:qFormat/>
    <w:rsid w:val="00D808AA"/>
    <w:pPr>
      <w:jc w:val="center"/>
    </w:pPr>
    <w:rPr>
      <w:rFonts w:ascii="Arial" w:hAnsi="Arial" w:cs="Arial"/>
      <w:color w:val="000000"/>
      <w:kern w:val="28"/>
      <w:sz w:val="144"/>
      <w:szCs w:val="144"/>
    </w:rPr>
  </w:style>
  <w:style w:type="character" w:customStyle="1" w:styleId="ab">
    <w:name w:val="Название Знак"/>
    <w:basedOn w:val="a0"/>
    <w:link w:val="aa"/>
    <w:uiPriority w:val="10"/>
    <w:locked/>
    <w:rPr>
      <w:rFonts w:asciiTheme="majorHAnsi" w:eastAsiaTheme="majorEastAsia" w:hAnsiTheme="majorHAnsi" w:cs="Times New Roman"/>
      <w:b/>
      <w:bCs/>
      <w:kern w:val="28"/>
      <w:sz w:val="32"/>
      <w:szCs w:val="32"/>
    </w:rPr>
  </w:style>
  <w:style w:type="character" w:styleId="ac">
    <w:name w:val="Hyperlink"/>
    <w:basedOn w:val="a0"/>
    <w:uiPriority w:val="99"/>
    <w:unhideWhenUsed/>
    <w:rsid w:val="00852986"/>
    <w:rPr>
      <w:rFonts w:cs="Times New Roman"/>
      <w:color w:val="0000FF"/>
      <w:u w:val="single"/>
    </w:rPr>
  </w:style>
  <w:style w:type="paragraph" w:styleId="ad">
    <w:name w:val="List Paragraph"/>
    <w:basedOn w:val="a"/>
    <w:uiPriority w:val="34"/>
    <w:qFormat/>
    <w:rsid w:val="00852986"/>
    <w:pPr>
      <w:spacing w:after="200" w:line="276" w:lineRule="auto"/>
      <w:ind w:left="720"/>
      <w:contextualSpacing/>
    </w:pPr>
    <w:rPr>
      <w:rFonts w:ascii="Calibri" w:hAnsi="Calibri"/>
      <w:sz w:val="22"/>
      <w:szCs w:val="22"/>
    </w:rPr>
  </w:style>
  <w:style w:type="character" w:styleId="ae">
    <w:name w:val="Strong"/>
    <w:basedOn w:val="a0"/>
    <w:uiPriority w:val="22"/>
    <w:qFormat/>
    <w:rsid w:val="006C2C92"/>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229002">
      <w:marLeft w:val="0"/>
      <w:marRight w:val="0"/>
      <w:marTop w:val="0"/>
      <w:marBottom w:val="0"/>
      <w:divBdr>
        <w:top w:val="none" w:sz="0" w:space="0" w:color="auto"/>
        <w:left w:val="none" w:sz="0" w:space="0" w:color="auto"/>
        <w:bottom w:val="none" w:sz="0" w:space="0" w:color="auto"/>
        <w:right w:val="none" w:sz="0" w:space="0" w:color="auto"/>
      </w:divBdr>
      <w:divsChild>
        <w:div w:id="1839229001">
          <w:marLeft w:val="0"/>
          <w:marRight w:val="0"/>
          <w:marTop w:val="0"/>
          <w:marBottom w:val="0"/>
          <w:divBdr>
            <w:top w:val="none" w:sz="0" w:space="0" w:color="auto"/>
            <w:left w:val="none" w:sz="0" w:space="0" w:color="auto"/>
            <w:bottom w:val="none" w:sz="0" w:space="0" w:color="auto"/>
            <w:right w:val="none" w:sz="0" w:space="0" w:color="auto"/>
          </w:divBdr>
        </w:div>
      </w:divsChild>
    </w:div>
    <w:div w:id="1839229003">
      <w:marLeft w:val="0"/>
      <w:marRight w:val="0"/>
      <w:marTop w:val="0"/>
      <w:marBottom w:val="0"/>
      <w:divBdr>
        <w:top w:val="none" w:sz="0" w:space="0" w:color="auto"/>
        <w:left w:val="none" w:sz="0" w:space="0" w:color="auto"/>
        <w:bottom w:val="none" w:sz="0" w:space="0" w:color="auto"/>
        <w:right w:val="none" w:sz="0" w:space="0" w:color="auto"/>
      </w:divBdr>
    </w:div>
    <w:div w:id="1839229005">
      <w:marLeft w:val="0"/>
      <w:marRight w:val="0"/>
      <w:marTop w:val="0"/>
      <w:marBottom w:val="0"/>
      <w:divBdr>
        <w:top w:val="none" w:sz="0" w:space="0" w:color="auto"/>
        <w:left w:val="none" w:sz="0" w:space="0" w:color="auto"/>
        <w:bottom w:val="none" w:sz="0" w:space="0" w:color="auto"/>
        <w:right w:val="none" w:sz="0" w:space="0" w:color="auto"/>
      </w:divBdr>
    </w:div>
    <w:div w:id="1839229006">
      <w:marLeft w:val="0"/>
      <w:marRight w:val="0"/>
      <w:marTop w:val="0"/>
      <w:marBottom w:val="0"/>
      <w:divBdr>
        <w:top w:val="none" w:sz="0" w:space="0" w:color="auto"/>
        <w:left w:val="none" w:sz="0" w:space="0" w:color="auto"/>
        <w:bottom w:val="none" w:sz="0" w:space="0" w:color="auto"/>
        <w:right w:val="none" w:sz="0" w:space="0" w:color="auto"/>
      </w:divBdr>
      <w:divsChild>
        <w:div w:id="1839229004">
          <w:marLeft w:val="188"/>
          <w:marRight w:val="188"/>
          <w:marTop w:val="0"/>
          <w:marBottom w:val="0"/>
          <w:divBdr>
            <w:top w:val="single" w:sz="4" w:space="6" w:color="3863A4"/>
            <w:left w:val="single" w:sz="4" w:space="6" w:color="3863A4"/>
            <w:bottom w:val="single" w:sz="4" w:space="6" w:color="3863A4"/>
            <w:right w:val="single" w:sz="4" w:space="6" w:color="3863A4"/>
          </w:divBdr>
        </w:div>
      </w:divsChild>
    </w:div>
    <w:div w:id="18392290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2517</Words>
  <Characters>1436</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До відома населення</vt:lpstr>
    </vt:vector>
  </TitlesOfParts>
  <Company>Policombank</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відома населення</dc:title>
  <dc:subject/>
  <dc:creator>Белоусова Юлия Сергеевна</dc:creator>
  <cp:keywords/>
  <dc:description/>
  <cp:lastModifiedBy/>
  <cp:revision>1</cp:revision>
  <cp:lastPrinted>2021-09-16T11:04:00Z</cp:lastPrinted>
  <dcterms:created xsi:type="dcterms:W3CDTF">2023-09-25T05:53:00Z</dcterms:created>
  <dcterms:modified xsi:type="dcterms:W3CDTF">1601-01-01T00:00:00Z</dcterms:modified>
</cp:coreProperties>
</file>