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73" w:rsidRPr="00C26903" w:rsidRDefault="00262973" w:rsidP="00262973">
      <w:pPr>
        <w:ind w:left="7371"/>
      </w:pPr>
      <w:r w:rsidRPr="00C26903">
        <w:t>Додаток  до договору від ________р. №____</w:t>
      </w:r>
    </w:p>
    <w:p w:rsidR="00262973" w:rsidRPr="00C20D01" w:rsidRDefault="00262973" w:rsidP="00262973">
      <w:pPr>
        <w:jc w:val="center"/>
        <w:rPr>
          <w:sz w:val="22"/>
          <w:szCs w:val="22"/>
        </w:rPr>
      </w:pPr>
      <w:r w:rsidRPr="000D1A1F">
        <w:rPr>
          <w:b/>
          <w:bCs/>
          <w:sz w:val="22"/>
          <w:szCs w:val="22"/>
        </w:rPr>
        <w:t>ТАБЛИЦЯ</w:t>
      </w:r>
      <w:r w:rsidRPr="000D1A1F">
        <w:rPr>
          <w:sz w:val="22"/>
          <w:szCs w:val="22"/>
        </w:rPr>
        <w:br/>
      </w:r>
      <w:r w:rsidRPr="000D1A1F">
        <w:rPr>
          <w:b/>
          <w:bCs/>
          <w:sz w:val="22"/>
          <w:szCs w:val="22"/>
        </w:rPr>
        <w:t>обчислення загальної вартості кредиту для споживача та реальної річної процентної ставки за договором про споживчий кредит</w:t>
      </w:r>
      <w:r>
        <w:rPr>
          <w:b/>
          <w:bCs/>
          <w:sz w:val="22"/>
          <w:szCs w:val="22"/>
        </w:rPr>
        <w:t>***</w:t>
      </w:r>
    </w:p>
    <w:tbl>
      <w:tblPr>
        <w:tblW w:w="5332" w:type="pct"/>
        <w:tblInd w:w="-366"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39"/>
        <w:gridCol w:w="441"/>
        <w:gridCol w:w="584"/>
        <w:gridCol w:w="728"/>
        <w:gridCol w:w="585"/>
        <w:gridCol w:w="441"/>
        <w:gridCol w:w="729"/>
        <w:gridCol w:w="730"/>
        <w:gridCol w:w="730"/>
        <w:gridCol w:w="439"/>
        <w:gridCol w:w="585"/>
        <w:gridCol w:w="1020"/>
        <w:gridCol w:w="469"/>
        <w:gridCol w:w="557"/>
        <w:gridCol w:w="454"/>
        <w:gridCol w:w="730"/>
        <w:gridCol w:w="630"/>
        <w:gridCol w:w="599"/>
      </w:tblGrid>
      <w:tr w:rsidR="00262973" w:rsidRPr="00E65FF6" w:rsidTr="00AF6335">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 з/п</w:t>
            </w:r>
          </w:p>
        </w:tc>
        <w:tc>
          <w:tcPr>
            <w:tcW w:w="44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Дата видачі кредиту/дата платежу</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Кількість днів у розрахунковому періоді</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Чиста сума кредиту/сума платежу за розрахунковий період, грн.</w:t>
            </w:r>
          </w:p>
        </w:tc>
        <w:tc>
          <w:tcPr>
            <w:tcW w:w="747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Види платежів за кредитом</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C20D01" w:rsidRDefault="00262973" w:rsidP="00AF6335">
            <w:pPr>
              <w:spacing w:before="115" w:after="115"/>
              <w:ind w:left="113" w:right="113"/>
              <w:jc w:val="center"/>
              <w:rPr>
                <w:sz w:val="22"/>
                <w:szCs w:val="22"/>
              </w:rPr>
            </w:pPr>
            <w:r w:rsidRPr="000D1A1F">
              <w:rPr>
                <w:sz w:val="22"/>
                <w:szCs w:val="22"/>
              </w:rPr>
              <w:t>Реальна річна процентна ставка, %</w:t>
            </w:r>
            <w:r>
              <w:rPr>
                <w:sz w:val="22"/>
                <w:szCs w:val="22"/>
              </w:rPr>
              <w:t>*</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 xml:space="preserve">Загальна вартість кредиту, </w:t>
            </w:r>
            <w:proofErr w:type="spellStart"/>
            <w:r w:rsidRPr="000D1A1F">
              <w:rPr>
                <w:sz w:val="22"/>
                <w:szCs w:val="22"/>
              </w:rPr>
              <w:t>грн</w:t>
            </w:r>
            <w:proofErr w:type="spellEnd"/>
          </w:p>
        </w:tc>
      </w:tr>
      <w:tr w:rsidR="00262973" w:rsidRPr="00E65FF6" w:rsidTr="00AF6335">
        <w:tc>
          <w:tcPr>
            <w:tcW w:w="4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сума кредиту за договором</w:t>
            </w:r>
          </w:p>
        </w:tc>
        <w:tc>
          <w:tcPr>
            <w:tcW w:w="44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проценти за користування кредитом</w:t>
            </w:r>
          </w:p>
        </w:tc>
        <w:tc>
          <w:tcPr>
            <w:tcW w:w="6444"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 xml:space="preserve">платежі </w:t>
            </w:r>
            <w:r w:rsidRPr="00262973">
              <w:rPr>
                <w:sz w:val="22"/>
                <w:szCs w:val="22"/>
              </w:rPr>
              <w:t xml:space="preserve">за </w:t>
            </w:r>
            <w:proofErr w:type="spellStart"/>
            <w:r w:rsidR="00AF6335" w:rsidRPr="00AF6335">
              <w:rPr>
                <w:sz w:val="22"/>
                <w:szCs w:val="22"/>
                <w:lang w:val="ru-RU"/>
              </w:rPr>
              <w:t>додаткові</w:t>
            </w:r>
            <w:proofErr w:type="spellEnd"/>
            <w:r w:rsidR="00AF6335" w:rsidRPr="00AF6335">
              <w:rPr>
                <w:sz w:val="22"/>
                <w:szCs w:val="22"/>
                <w:lang w:val="ru-RU"/>
              </w:rPr>
              <w:t xml:space="preserve"> та/</w:t>
            </w:r>
            <w:proofErr w:type="spellStart"/>
            <w:r w:rsidR="00AF6335" w:rsidRPr="00AF6335">
              <w:rPr>
                <w:sz w:val="22"/>
                <w:szCs w:val="22"/>
                <w:lang w:val="ru-RU"/>
              </w:rPr>
              <w:t>або</w:t>
            </w:r>
            <w:proofErr w:type="spellEnd"/>
            <w:r w:rsidR="00AF6335" w:rsidRPr="00AF6335">
              <w:rPr>
                <w:sz w:val="22"/>
                <w:szCs w:val="22"/>
                <w:lang w:val="ru-RU"/>
              </w:rPr>
              <w:t xml:space="preserve"> </w:t>
            </w:r>
            <w:proofErr w:type="spellStart"/>
            <w:r w:rsidR="00AF6335" w:rsidRPr="00AF6335">
              <w:rPr>
                <w:sz w:val="22"/>
                <w:szCs w:val="22"/>
                <w:lang w:val="ru-RU"/>
              </w:rPr>
              <w:t>супутні</w:t>
            </w:r>
            <w:proofErr w:type="spellEnd"/>
            <w:r w:rsidRPr="00262973">
              <w:rPr>
                <w:sz w:val="22"/>
                <w:szCs w:val="22"/>
              </w:rPr>
              <w:t xml:space="preserve"> послуги</w:t>
            </w: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outlineLvl w:val="0"/>
              <w:rPr>
                <w:sz w:val="22"/>
                <w:szCs w:val="22"/>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outlineLvl w:val="0"/>
              <w:rPr>
                <w:sz w:val="22"/>
                <w:szCs w:val="22"/>
              </w:rPr>
            </w:pPr>
          </w:p>
        </w:tc>
      </w:tr>
      <w:tr w:rsidR="00262973" w:rsidRPr="00E65FF6" w:rsidTr="00AF6335">
        <w:trPr>
          <w:trHeight w:val="503"/>
        </w:trPr>
        <w:tc>
          <w:tcPr>
            <w:tcW w:w="4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262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банку</w:t>
            </w:r>
          </w:p>
        </w:tc>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кредитного посередника (за наявності)</w:t>
            </w:r>
          </w:p>
        </w:tc>
        <w:tc>
          <w:tcPr>
            <w:tcW w:w="221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62973" w:rsidRPr="00E51B27" w:rsidRDefault="00262973" w:rsidP="00AF6335">
            <w:pPr>
              <w:spacing w:before="115" w:after="115"/>
              <w:jc w:val="center"/>
              <w:rPr>
                <w:sz w:val="22"/>
                <w:szCs w:val="22"/>
                <w:lang w:val="en-US"/>
              </w:rPr>
            </w:pPr>
            <w:r w:rsidRPr="000D1A1F">
              <w:rPr>
                <w:sz w:val="22"/>
                <w:szCs w:val="22"/>
              </w:rPr>
              <w:t>третіх осіб</w:t>
            </w:r>
            <w:r>
              <w:rPr>
                <w:sz w:val="22"/>
                <w:szCs w:val="22"/>
                <w:lang w:val="en-US"/>
              </w:rPr>
              <w:t>**</w:t>
            </w: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outlineLvl w:val="0"/>
              <w:rPr>
                <w:sz w:val="22"/>
                <w:szCs w:val="22"/>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outlineLvl w:val="0"/>
              <w:rPr>
                <w:sz w:val="22"/>
                <w:szCs w:val="22"/>
              </w:rPr>
            </w:pPr>
          </w:p>
        </w:tc>
      </w:tr>
      <w:tr w:rsidR="00262973" w:rsidRPr="00E65FF6" w:rsidTr="00A1087A">
        <w:trPr>
          <w:cantSplit/>
          <w:trHeight w:val="2332"/>
        </w:trPr>
        <w:tc>
          <w:tcPr>
            <w:tcW w:w="4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4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2973" w:rsidRPr="00E65FF6" w:rsidRDefault="00262973" w:rsidP="00AF6335">
            <w:pPr>
              <w:rPr>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ind w:left="113" w:right="113"/>
              <w:jc w:val="center"/>
              <w:rPr>
                <w:sz w:val="22"/>
                <w:szCs w:val="22"/>
              </w:rPr>
            </w:pPr>
            <w:r w:rsidRPr="000D1A1F">
              <w:rPr>
                <w:sz w:val="22"/>
                <w:szCs w:val="22"/>
              </w:rPr>
              <w:t>щомісячна комісія за проведення розрахунків</w:t>
            </w:r>
          </w:p>
          <w:p w:rsidR="00262973" w:rsidRPr="00E65FF6" w:rsidRDefault="00262973" w:rsidP="00AF6335">
            <w:pPr>
              <w:keepNext/>
              <w:spacing w:before="115" w:after="115"/>
              <w:ind w:left="113" w:right="113"/>
              <w:jc w:val="center"/>
              <w:outlineLvl w:val="0"/>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розрахунково-касове обслуговування</w:t>
            </w:r>
          </w:p>
        </w:tc>
        <w:tc>
          <w:tcPr>
            <w:tcW w:w="730"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комісія за надання кредиту</w:t>
            </w:r>
          </w:p>
        </w:tc>
        <w:tc>
          <w:tcPr>
            <w:tcW w:w="43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 xml:space="preserve">інші послуги </w:t>
            </w:r>
            <w:proofErr w:type="spellStart"/>
            <w:r w:rsidRPr="000D1A1F">
              <w:rPr>
                <w:sz w:val="22"/>
                <w:szCs w:val="22"/>
              </w:rPr>
              <w:t>банку</w:t>
            </w:r>
            <w:r w:rsidRPr="000D1A1F">
              <w:rPr>
                <w:b/>
                <w:bCs/>
                <w:sz w:val="22"/>
                <w:szCs w:val="22"/>
                <w:vertAlign w:val="superscript"/>
              </w:rPr>
              <w:t>-</w:t>
            </w:r>
            <w:proofErr w:type="spellEnd"/>
          </w:p>
        </w:tc>
        <w:tc>
          <w:tcPr>
            <w:tcW w:w="585"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комісійний збір</w:t>
            </w:r>
          </w:p>
        </w:tc>
        <w:tc>
          <w:tcPr>
            <w:tcW w:w="1021"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sz w:val="22"/>
                <w:szCs w:val="22"/>
              </w:rPr>
            </w:pPr>
            <w:r w:rsidRPr="000D1A1F">
              <w:rPr>
                <w:sz w:val="22"/>
                <w:szCs w:val="22"/>
              </w:rPr>
              <w:t xml:space="preserve">інша плата за послуги кредитного </w:t>
            </w:r>
            <w:proofErr w:type="spellStart"/>
            <w:r w:rsidRPr="000D1A1F">
              <w:rPr>
                <w:sz w:val="22"/>
                <w:szCs w:val="22"/>
              </w:rPr>
              <w:t>посередника</w:t>
            </w:r>
            <w:r w:rsidRPr="000D1A1F">
              <w:rPr>
                <w:b/>
                <w:bCs/>
                <w:sz w:val="22"/>
                <w:szCs w:val="22"/>
                <w:vertAlign w:val="superscript"/>
              </w:rPr>
              <w:t>-</w:t>
            </w:r>
            <w:proofErr w:type="spellEnd"/>
          </w:p>
        </w:tc>
        <w:tc>
          <w:tcPr>
            <w:tcW w:w="469"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51B27" w:rsidRDefault="00262973" w:rsidP="00AF6335">
            <w:pPr>
              <w:spacing w:before="115" w:after="115"/>
              <w:ind w:left="113" w:right="113"/>
              <w:jc w:val="center"/>
              <w:rPr>
                <w:sz w:val="22"/>
                <w:szCs w:val="22"/>
                <w:lang w:val="en-US"/>
              </w:rPr>
            </w:pPr>
            <w:r w:rsidRPr="000D1A1F">
              <w:rPr>
                <w:sz w:val="22"/>
                <w:szCs w:val="22"/>
              </w:rPr>
              <w:t>послуги нотаріуса</w:t>
            </w:r>
          </w:p>
        </w:tc>
        <w:tc>
          <w:tcPr>
            <w:tcW w:w="557"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51B27" w:rsidRDefault="00262973" w:rsidP="00AF6335">
            <w:pPr>
              <w:spacing w:before="115" w:after="115"/>
              <w:ind w:left="113" w:right="113"/>
              <w:jc w:val="center"/>
              <w:rPr>
                <w:sz w:val="22"/>
                <w:szCs w:val="22"/>
                <w:lang w:val="en-US"/>
              </w:rPr>
            </w:pPr>
            <w:r w:rsidRPr="000D1A1F">
              <w:rPr>
                <w:sz w:val="22"/>
                <w:szCs w:val="22"/>
              </w:rPr>
              <w:t>послуги оцінювача</w:t>
            </w:r>
          </w:p>
        </w:tc>
        <w:tc>
          <w:tcPr>
            <w:tcW w:w="454"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51B27" w:rsidRDefault="00262973" w:rsidP="00AF6335">
            <w:pPr>
              <w:spacing w:before="115" w:after="115"/>
              <w:ind w:left="113" w:right="113"/>
              <w:jc w:val="center"/>
              <w:rPr>
                <w:sz w:val="22"/>
                <w:szCs w:val="22"/>
                <w:lang w:val="en-US"/>
              </w:rPr>
            </w:pPr>
            <w:r w:rsidRPr="000D1A1F">
              <w:rPr>
                <w:sz w:val="22"/>
                <w:szCs w:val="22"/>
              </w:rPr>
              <w:t>послуги страховика</w:t>
            </w:r>
          </w:p>
        </w:tc>
        <w:tc>
          <w:tcPr>
            <w:tcW w:w="730"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51B27" w:rsidRDefault="00262973" w:rsidP="00AF6335">
            <w:pPr>
              <w:spacing w:before="115" w:after="115"/>
              <w:ind w:left="113" w:right="113"/>
              <w:jc w:val="center"/>
              <w:rPr>
                <w:sz w:val="22"/>
                <w:szCs w:val="22"/>
                <w:lang w:val="en-US"/>
              </w:rPr>
            </w:pPr>
            <w:r w:rsidRPr="000D1A1F">
              <w:rPr>
                <w:sz w:val="22"/>
                <w:szCs w:val="22"/>
              </w:rPr>
              <w:t>інші послуги третіх осіб</w:t>
            </w: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outlineLvl w:val="0"/>
              <w:rPr>
                <w:sz w:val="22"/>
                <w:szCs w:val="22"/>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outlineLvl w:val="0"/>
              <w:rPr>
                <w:sz w:val="22"/>
                <w:szCs w:val="22"/>
              </w:rPr>
            </w:pPr>
          </w:p>
        </w:tc>
      </w:tr>
      <w:tr w:rsidR="00262973" w:rsidRPr="00E65FF6" w:rsidTr="00AF6335">
        <w:trPr>
          <w:trHeight w:val="252"/>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w:t>
            </w:r>
          </w:p>
        </w:tc>
        <w:tc>
          <w:tcPr>
            <w:tcW w:w="442"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2</w:t>
            </w: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3</w:t>
            </w:r>
          </w:p>
        </w:tc>
        <w:tc>
          <w:tcPr>
            <w:tcW w:w="72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4</w:t>
            </w: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5</w:t>
            </w:r>
          </w:p>
        </w:tc>
        <w:tc>
          <w:tcPr>
            <w:tcW w:w="441"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6</w:t>
            </w:r>
          </w:p>
        </w:tc>
        <w:tc>
          <w:tcPr>
            <w:tcW w:w="72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7</w:t>
            </w: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8</w:t>
            </w: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9</w:t>
            </w:r>
          </w:p>
        </w:tc>
        <w:tc>
          <w:tcPr>
            <w:tcW w:w="43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10</w:t>
            </w: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11</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12</w:t>
            </w:r>
          </w:p>
        </w:tc>
        <w:tc>
          <w:tcPr>
            <w:tcW w:w="46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14</w:t>
            </w:r>
          </w:p>
        </w:tc>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15</w:t>
            </w: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16</w:t>
            </w:r>
          </w:p>
        </w:tc>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17</w:t>
            </w:r>
          </w:p>
        </w:tc>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18</w:t>
            </w:r>
          </w:p>
        </w:tc>
      </w:tr>
      <w:tr w:rsidR="00262973" w:rsidRPr="00E65FF6" w:rsidTr="00A1087A">
        <w:trPr>
          <w:trHeight w:val="409"/>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r w:rsidRPr="000D1A1F">
              <w:rPr>
                <w:sz w:val="22"/>
                <w:szCs w:val="22"/>
              </w:rPr>
              <w:t>1</w:t>
            </w:r>
          </w:p>
        </w:tc>
        <w:tc>
          <w:tcPr>
            <w:tcW w:w="442"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sz w:val="22"/>
                <w:szCs w:val="22"/>
              </w:rPr>
            </w:pPr>
          </w:p>
        </w:tc>
      </w:tr>
      <w:tr w:rsidR="00262973" w:rsidRPr="00E65FF6" w:rsidTr="00A1087A">
        <w:trPr>
          <w:trHeight w:val="462"/>
        </w:trPr>
        <w:tc>
          <w:tcPr>
            <w:tcW w:w="44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A44EF1" w:rsidRDefault="00262973" w:rsidP="00AF6335">
            <w:pPr>
              <w:spacing w:before="115" w:after="115"/>
              <w:rPr>
                <w:sz w:val="22"/>
                <w:szCs w:val="22"/>
              </w:rPr>
            </w:pPr>
            <w:r w:rsidRPr="000D1A1F">
              <w:rPr>
                <w:sz w:val="22"/>
                <w:szCs w:val="22"/>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spacing w:before="115" w:after="115"/>
              <w:jc w:val="center"/>
              <w:rPr>
                <w:sz w:val="22"/>
                <w:szCs w:val="22"/>
              </w:rPr>
            </w:pPr>
          </w:p>
        </w:tc>
      </w:tr>
      <w:tr w:rsidR="00262973" w:rsidRPr="00E65FF6" w:rsidTr="00AF6335">
        <w:trPr>
          <w:cantSplit/>
          <w:trHeight w:val="1080"/>
        </w:trPr>
        <w:tc>
          <w:tcPr>
            <w:tcW w:w="440"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spacing w:before="115" w:after="115"/>
              <w:ind w:left="113" w:right="113"/>
              <w:jc w:val="center"/>
              <w:rPr>
                <w:b/>
                <w:sz w:val="22"/>
                <w:szCs w:val="22"/>
              </w:rPr>
            </w:pPr>
            <w:r w:rsidRPr="000D1A1F">
              <w:rPr>
                <w:b/>
                <w:sz w:val="22"/>
                <w:szCs w:val="22"/>
              </w:rPr>
              <w:t>Усього</w:t>
            </w:r>
          </w:p>
        </w:tc>
        <w:tc>
          <w:tcPr>
            <w:tcW w:w="442" w:type="dxa"/>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62973" w:rsidRPr="00E65FF6" w:rsidRDefault="00262973" w:rsidP="00AF6335">
            <w:pPr>
              <w:keepNext/>
              <w:spacing w:before="115" w:after="115"/>
              <w:ind w:left="113" w:right="113"/>
              <w:jc w:val="center"/>
              <w:outlineLvl w:val="0"/>
              <w:rPr>
                <w:b/>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469"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hideMark/>
          </w:tcPr>
          <w:p w:rsidR="00262973" w:rsidRPr="00E65FF6" w:rsidRDefault="00262973" w:rsidP="00AF6335">
            <w:pPr>
              <w:keepNext/>
              <w:spacing w:before="115" w:after="115"/>
              <w:jc w:val="center"/>
              <w:outlineLvl w:val="0"/>
              <w:rPr>
                <w:b/>
                <w:sz w:val="22"/>
                <w:szCs w:val="22"/>
              </w:rPr>
            </w:pPr>
          </w:p>
        </w:tc>
      </w:tr>
      <w:tr w:rsidR="00AF6335" w:rsidTr="00AF6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350"/>
        </w:trPr>
        <w:tc>
          <w:tcPr>
            <w:tcW w:w="9661" w:type="dxa"/>
            <w:gridSpan w:val="16"/>
          </w:tcPr>
          <w:p w:rsidR="00AF6335" w:rsidRDefault="00AF6335" w:rsidP="00AF6335">
            <w:pPr>
              <w:rPr>
                <w:sz w:val="22"/>
                <w:szCs w:val="22"/>
              </w:rPr>
            </w:pPr>
            <w:r>
              <w:rPr>
                <w:sz w:val="22"/>
                <w:szCs w:val="22"/>
              </w:rPr>
              <w:t xml:space="preserve">Денна </w:t>
            </w:r>
            <w:proofErr w:type="spellStart"/>
            <w:r>
              <w:rPr>
                <w:sz w:val="22"/>
                <w:szCs w:val="22"/>
              </w:rPr>
              <w:t>процентн</w:t>
            </w:r>
            <w:proofErr w:type="spellEnd"/>
            <w:r>
              <w:rPr>
                <w:sz w:val="22"/>
                <w:szCs w:val="22"/>
              </w:rPr>
              <w:t xml:space="preserve"> ставка, %****</w:t>
            </w:r>
          </w:p>
        </w:tc>
        <w:tc>
          <w:tcPr>
            <w:tcW w:w="1229" w:type="dxa"/>
            <w:gridSpan w:val="2"/>
          </w:tcPr>
          <w:p w:rsidR="00AF6335" w:rsidRDefault="00AF6335" w:rsidP="00AF6335">
            <w:pPr>
              <w:rPr>
                <w:sz w:val="22"/>
                <w:szCs w:val="22"/>
              </w:rPr>
            </w:pPr>
          </w:p>
        </w:tc>
      </w:tr>
    </w:tbl>
    <w:p w:rsidR="00262973" w:rsidRPr="00B9185B" w:rsidRDefault="00262973" w:rsidP="00A1087A">
      <w:pPr>
        <w:ind w:left="-284"/>
        <w:jc w:val="both"/>
        <w:rPr>
          <w:sz w:val="22"/>
          <w:szCs w:val="22"/>
        </w:rPr>
      </w:pPr>
      <w:r w:rsidRPr="00B9185B">
        <w:rPr>
          <w:sz w:val="22"/>
          <w:szCs w:val="22"/>
        </w:rPr>
        <w:t>* Розрахована на підставі вимог «</w:t>
      </w:r>
      <w:r w:rsidRPr="00B9185B">
        <w:rPr>
          <w:bCs/>
          <w:color w:val="333333"/>
          <w:sz w:val="22"/>
          <w:szCs w:val="22"/>
          <w:shd w:val="clear" w:color="auto" w:fill="FFFFFF"/>
        </w:rPr>
        <w:t>Правил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w:t>
      </w:r>
      <w:r w:rsidRPr="00B9185B">
        <w:rPr>
          <w:sz w:val="22"/>
          <w:szCs w:val="22"/>
        </w:rPr>
        <w:tab/>
        <w:t>від 08.06.2017, №49  (зі змінами).</w:t>
      </w:r>
    </w:p>
    <w:p w:rsidR="00262973" w:rsidRPr="00B9185B" w:rsidRDefault="00262973" w:rsidP="00A1087A">
      <w:pPr>
        <w:ind w:left="-284"/>
        <w:jc w:val="both"/>
        <w:rPr>
          <w:sz w:val="22"/>
          <w:szCs w:val="22"/>
        </w:rPr>
      </w:pPr>
      <w:r w:rsidRPr="00B9185B">
        <w:rPr>
          <w:sz w:val="22"/>
          <w:szCs w:val="22"/>
        </w:rPr>
        <w:t>** Вартість</w:t>
      </w:r>
      <w:r w:rsidR="00AF6335">
        <w:rPr>
          <w:sz w:val="22"/>
          <w:szCs w:val="22"/>
        </w:rPr>
        <w:t xml:space="preserve"> додаткових та/або супутніх</w:t>
      </w:r>
      <w:r w:rsidRPr="00B9185B">
        <w:rPr>
          <w:sz w:val="22"/>
          <w:szCs w:val="22"/>
        </w:rPr>
        <w:t xml:space="preserve"> послуг третіх осіб (оцінювачів,нотаріусів, страховиків) зазначена на рівні середньо ринкових цін на дату розрахунку</w:t>
      </w:r>
    </w:p>
    <w:p w:rsidR="00262973" w:rsidRDefault="00262973" w:rsidP="00A1087A">
      <w:pPr>
        <w:ind w:left="-284"/>
        <w:jc w:val="both"/>
        <w:rPr>
          <w:sz w:val="22"/>
          <w:szCs w:val="22"/>
        </w:rPr>
      </w:pPr>
      <w:r w:rsidRPr="00B9185B">
        <w:rPr>
          <w:sz w:val="22"/>
          <w:szCs w:val="22"/>
        </w:rPr>
        <w:t>***Наведені обчислення орієнтовної реальної річної процентної ставки та орієнтовної загальної вартості кредиту для Позичальника є репрезентативними та базуються на обраних Позичальником умовах кредитування, викладених вище, і на припущенні, що Кредитний договір залишатиметься дійсним протягом погодженого строку, а Банк і Позичальник виконають свої обов’язки на умовах та у строки, визначені в Кредитному договорі. Орієнтовна реальна річна процентна ставка обчислена на основі припущення, що процентна ставка та інші платежі за послуги Банку залишатимуться незмінними та застосовуватимуться протягом строку дії Кредитного договору.</w:t>
      </w:r>
    </w:p>
    <w:p w:rsidR="00A1087A" w:rsidRDefault="00A1087A" w:rsidP="00A1087A">
      <w:pPr>
        <w:ind w:left="-284"/>
        <w:jc w:val="both"/>
        <w:rPr>
          <w:sz w:val="22"/>
          <w:szCs w:val="22"/>
        </w:rPr>
      </w:pPr>
      <w:r>
        <w:rPr>
          <w:sz w:val="22"/>
          <w:szCs w:val="22"/>
        </w:rPr>
        <w:t>****Розрахована на підставі вимог Закону України «Про споживче кредитування». Денна процентна ставка обчислена на основі припущення, що процентна ставка та інші платежі за послуги Банку залишатимуться незмінними та застосовуватимуться протягом строку дії договору про споживчий кредит.</w:t>
      </w:r>
    </w:p>
    <w:p w:rsidR="00262973" w:rsidRPr="00E65FF6" w:rsidRDefault="00262973" w:rsidP="00262973">
      <w:pPr>
        <w:rPr>
          <w:sz w:val="22"/>
          <w:szCs w:val="22"/>
        </w:rPr>
      </w:pPr>
      <w:r w:rsidRPr="000D1A1F">
        <w:rPr>
          <w:sz w:val="22"/>
          <w:szCs w:val="22"/>
        </w:rPr>
        <w:t>Банк</w:t>
      </w:r>
      <w:r w:rsidRPr="000D1A1F">
        <w:rPr>
          <w:sz w:val="22"/>
          <w:szCs w:val="22"/>
        </w:rPr>
        <w:tab/>
      </w:r>
      <w:r w:rsidRPr="000D1A1F">
        <w:rPr>
          <w:sz w:val="22"/>
          <w:szCs w:val="22"/>
        </w:rPr>
        <w:tab/>
        <w:t xml:space="preserve">                                                                              Позичальник</w:t>
      </w:r>
      <w:r w:rsidRPr="000D1A1F">
        <w:rPr>
          <w:sz w:val="22"/>
          <w:szCs w:val="22"/>
        </w:rPr>
        <w:tab/>
      </w:r>
    </w:p>
    <w:p w:rsidR="00262973" w:rsidRPr="00E65FF6" w:rsidRDefault="00262973" w:rsidP="00262973">
      <w:pPr>
        <w:rPr>
          <w:sz w:val="22"/>
          <w:szCs w:val="22"/>
        </w:rPr>
      </w:pPr>
      <w:r w:rsidRPr="000D1A1F">
        <w:rPr>
          <w:sz w:val="22"/>
          <w:szCs w:val="22"/>
        </w:rPr>
        <w:t>Посада</w:t>
      </w:r>
      <w:r w:rsidRPr="000D1A1F">
        <w:rPr>
          <w:sz w:val="22"/>
          <w:szCs w:val="22"/>
        </w:rPr>
        <w:tab/>
      </w:r>
    </w:p>
    <w:p w:rsidR="00262973" w:rsidRPr="00E65FF6" w:rsidRDefault="00262973" w:rsidP="00262973">
      <w:pPr>
        <w:rPr>
          <w:sz w:val="22"/>
          <w:szCs w:val="22"/>
        </w:rPr>
      </w:pPr>
      <w:r w:rsidRPr="000D1A1F">
        <w:rPr>
          <w:sz w:val="22"/>
          <w:szCs w:val="22"/>
        </w:rPr>
        <w:t>_______________(ПІБ)</w:t>
      </w:r>
      <w:r w:rsidRPr="000D1A1F">
        <w:rPr>
          <w:sz w:val="22"/>
          <w:szCs w:val="22"/>
        </w:rPr>
        <w:tab/>
      </w:r>
      <w:r w:rsidRPr="000D1A1F">
        <w:rPr>
          <w:sz w:val="22"/>
          <w:szCs w:val="22"/>
        </w:rPr>
        <w:tab/>
      </w:r>
      <w:r w:rsidRPr="000D1A1F">
        <w:rPr>
          <w:sz w:val="22"/>
          <w:szCs w:val="22"/>
        </w:rPr>
        <w:tab/>
      </w:r>
      <w:r w:rsidRPr="000D1A1F">
        <w:rPr>
          <w:sz w:val="22"/>
          <w:szCs w:val="22"/>
        </w:rPr>
        <w:tab/>
      </w:r>
      <w:r w:rsidRPr="000D1A1F">
        <w:rPr>
          <w:sz w:val="22"/>
          <w:szCs w:val="22"/>
        </w:rPr>
        <w:tab/>
        <w:t>_________________(ПІБ)</w:t>
      </w:r>
    </w:p>
    <w:p w:rsidR="00262973" w:rsidRDefault="00262973" w:rsidP="00262973">
      <w:pPr>
        <w:rPr>
          <w:sz w:val="16"/>
          <w:szCs w:val="16"/>
        </w:rPr>
      </w:pPr>
      <w:r w:rsidRPr="000D1A1F">
        <w:t>(підпис)</w:t>
      </w:r>
      <w:r w:rsidRPr="000D1A1F">
        <w:tab/>
      </w:r>
      <w:r w:rsidRPr="000D1A1F">
        <w:tab/>
      </w:r>
      <w:r w:rsidRPr="000D1A1F">
        <w:tab/>
      </w:r>
      <w:r w:rsidRPr="000D1A1F">
        <w:tab/>
      </w:r>
      <w:r w:rsidRPr="000D1A1F">
        <w:tab/>
      </w:r>
      <w:r w:rsidRPr="000D1A1F">
        <w:tab/>
      </w:r>
      <w:r w:rsidRPr="000D1A1F">
        <w:tab/>
      </w:r>
      <w:r w:rsidRPr="000D1A1F">
        <w:tab/>
        <w:t>(підпис)</w:t>
      </w:r>
    </w:p>
    <w:sectPr w:rsidR="00262973" w:rsidSect="003A5CBB">
      <w:pgSz w:w="11906" w:h="16838"/>
      <w:pgMar w:top="567" w:right="68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62973"/>
    <w:rsid w:val="000A4EA7"/>
    <w:rsid w:val="000C39B7"/>
    <w:rsid w:val="001336FD"/>
    <w:rsid w:val="0015550C"/>
    <w:rsid w:val="001F076E"/>
    <w:rsid w:val="00262973"/>
    <w:rsid w:val="002D72D5"/>
    <w:rsid w:val="003211C9"/>
    <w:rsid w:val="0074622F"/>
    <w:rsid w:val="00844276"/>
    <w:rsid w:val="009A128D"/>
    <w:rsid w:val="00A1087A"/>
    <w:rsid w:val="00AF6335"/>
    <w:rsid w:val="00B17CC0"/>
    <w:rsid w:val="00BB6085"/>
    <w:rsid w:val="00C02873"/>
    <w:rsid w:val="00D03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jc w:val="both"/>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62973"/>
    <w:pPr>
      <w:widowControl w:val="0"/>
      <w:autoSpaceDE w:val="0"/>
      <w:autoSpaceDN w:val="0"/>
      <w:spacing w:line="28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C39B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Policombank</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oper56</dc:creator>
  <cp:lastModifiedBy>Маляренко Алина Анатольевна</cp:lastModifiedBy>
  <cp:revision>4</cp:revision>
  <cp:lastPrinted>2024-02-22T07:24:00Z</cp:lastPrinted>
  <dcterms:created xsi:type="dcterms:W3CDTF">2024-02-22T07:13:00Z</dcterms:created>
  <dcterms:modified xsi:type="dcterms:W3CDTF">2024-02-22T07:33:00Z</dcterms:modified>
</cp:coreProperties>
</file>